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0"/>
        <w:gridCol w:w="2983"/>
        <w:gridCol w:w="2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  <w:shd w:val="clear" w:color="auto" w:fill="auto"/>
          </w:tcPr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cs="Times New Roman"/>
                <w:kern w:val="2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Cs w:val="20"/>
              </w:rPr>
              <w:t>证券代码：000881</w:t>
            </w:r>
          </w:p>
        </w:tc>
        <w:tc>
          <w:tcPr>
            <w:tcW w:w="1667" w:type="pct"/>
            <w:shd w:val="clear" w:color="auto" w:fill="auto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kern w:val="2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Cs w:val="20"/>
              </w:rPr>
              <w:t>证券简称：中广核技</w:t>
            </w:r>
          </w:p>
        </w:tc>
        <w:tc>
          <w:tcPr>
            <w:tcW w:w="1667" w:type="pct"/>
            <w:shd w:val="clear" w:color="auto" w:fill="auto"/>
          </w:tcPr>
          <w:p>
            <w:pPr>
              <w:widowControl w:val="0"/>
              <w:wordWrap w:val="0"/>
              <w:adjustRightInd w:val="0"/>
              <w:snapToGrid w:val="0"/>
              <w:spacing w:line="440" w:lineRule="exact"/>
              <w:jc w:val="right"/>
              <w:rPr>
                <w:rFonts w:hint="default" w:ascii="Times New Roman" w:hAnsi="Times New Roman" w:eastAsia="宋体" w:cs="Times New Roman"/>
                <w:kern w:val="2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2"/>
                <w:szCs w:val="20"/>
              </w:rPr>
              <w:t>公告编号：202</w:t>
            </w:r>
            <w:r>
              <w:rPr>
                <w:rFonts w:hint="eastAsia" w:ascii="Times New Roman" w:hAnsi="Times New Roman" w:cs="Times New Roman"/>
                <w:kern w:val="2"/>
                <w:szCs w:val="20"/>
              </w:rPr>
              <w:t>4</w:t>
            </w:r>
            <w:r>
              <w:rPr>
                <w:rFonts w:ascii="Times New Roman" w:hAnsi="Times New Roman" w:cs="Times New Roman"/>
                <w:kern w:val="2"/>
                <w:szCs w:val="20"/>
              </w:rPr>
              <w:t>-0</w:t>
            </w:r>
            <w:r>
              <w:rPr>
                <w:rFonts w:hint="eastAsia" w:ascii="Times New Roman" w:hAnsi="Times New Roman" w:cs="Times New Roman"/>
                <w:kern w:val="2"/>
                <w:szCs w:val="20"/>
                <w:lang w:val="en-US" w:eastAsia="zh-CN"/>
              </w:rPr>
              <w:t>63</w:t>
            </w:r>
          </w:p>
        </w:tc>
      </w:tr>
    </w:tbl>
    <w:p>
      <w:pPr>
        <w:widowControl w:val="0"/>
        <w:snapToGrid w:val="0"/>
        <w:spacing w:before="180" w:beforeLines="50"/>
        <w:jc w:val="center"/>
        <w:rPr>
          <w:rFonts w:ascii="Times New Roman" w:hAnsi="Times New Roman" w:cs="Times New Roman"/>
          <w:b/>
          <w:kern w:val="2"/>
          <w:sz w:val="36"/>
          <w:szCs w:val="36"/>
        </w:rPr>
      </w:pPr>
      <w:r>
        <w:rPr>
          <w:rFonts w:ascii="Times New Roman" w:hAnsi="Times New Roman" w:cs="Times New Roman"/>
          <w:b/>
          <w:kern w:val="2"/>
          <w:sz w:val="36"/>
          <w:szCs w:val="36"/>
        </w:rPr>
        <w:t>中广核核技术发展股份有限公司</w:t>
      </w:r>
    </w:p>
    <w:p>
      <w:pPr>
        <w:widowControl w:val="0"/>
        <w:snapToGrid w:val="0"/>
        <w:jc w:val="center"/>
        <w:rPr>
          <w:rFonts w:ascii="Times New Roman" w:hAnsi="Times New Roman" w:cs="Times New Roman"/>
          <w:b/>
          <w:kern w:val="2"/>
          <w:sz w:val="36"/>
          <w:szCs w:val="36"/>
        </w:rPr>
      </w:pPr>
      <w:r>
        <w:rPr>
          <w:rFonts w:hint="eastAsia" w:ascii="Times New Roman" w:hAnsi="Times New Roman" w:cs="Times New Roman"/>
          <w:b/>
          <w:kern w:val="2"/>
          <w:sz w:val="36"/>
          <w:szCs w:val="36"/>
        </w:rPr>
        <w:t>关于增加</w:t>
      </w:r>
      <w:r>
        <w:rPr>
          <w:rFonts w:ascii="Times New Roman" w:hAnsi="Times New Roman" w:cs="Times New Roman"/>
          <w:b/>
          <w:kern w:val="2"/>
          <w:sz w:val="36"/>
          <w:szCs w:val="36"/>
        </w:rPr>
        <w:t>2024年度日常关联交易预计额度的公告</w:t>
      </w:r>
    </w:p>
    <w:p>
      <w:pPr>
        <w:widowControl w:val="0"/>
        <w:snapToGrid w:val="0"/>
        <w:spacing w:before="180" w:beforeLines="50" w:line="360" w:lineRule="auto"/>
        <w:ind w:firstLine="422" w:firstLineChars="200"/>
        <w:jc w:val="both"/>
        <w:rPr>
          <w:rFonts w:ascii="Times New Roman" w:hAnsi="Times New Roman" w:cs="Times New Roman"/>
          <w:b/>
          <w:kern w:val="2"/>
          <w:sz w:val="21"/>
          <w:szCs w:val="21"/>
        </w:rPr>
      </w:pPr>
      <w:r>
        <w:rPr>
          <w:rFonts w:ascii="Times New Roman" w:hAnsi="Times New Roman" w:cs="Times New Roman"/>
          <w:b/>
          <w:kern w:val="2"/>
          <w:sz w:val="21"/>
          <w:szCs w:val="21"/>
        </w:rPr>
        <w:t>本公司及董事会全体成员保证信息披露的内容真实、准确、完整，没有虚假记载、误导性陈述或者重大遗漏。</w:t>
      </w:r>
    </w:p>
    <w:p>
      <w:pPr>
        <w:pStyle w:val="21"/>
        <w:adjustRightInd w:val="0"/>
        <w:snapToGrid w:val="0"/>
        <w:spacing w:line="360" w:lineRule="auto"/>
        <w:ind w:firstLine="482"/>
        <w:outlineLvl w:val="0"/>
        <w:rPr>
          <w:b/>
          <w:sz w:val="24"/>
        </w:rPr>
      </w:pPr>
      <w:r>
        <w:rPr>
          <w:b/>
          <w:sz w:val="24"/>
        </w:rPr>
        <w:t>一、日常关联交易基本情况</w:t>
      </w:r>
    </w:p>
    <w:p>
      <w:pPr>
        <w:pStyle w:val="21"/>
        <w:adjustRightInd w:val="0"/>
        <w:snapToGrid w:val="0"/>
        <w:spacing w:line="360" w:lineRule="auto"/>
        <w:ind w:firstLine="482"/>
        <w:outlineLvl w:val="1"/>
        <w:rPr>
          <w:b/>
          <w:sz w:val="24"/>
        </w:rPr>
      </w:pPr>
      <w:r>
        <w:rPr>
          <w:b/>
          <w:sz w:val="24"/>
        </w:rPr>
        <w:t>（一）日常关联交易概述</w:t>
      </w:r>
    </w:p>
    <w:p>
      <w:pPr>
        <w:widowControl w:val="0"/>
        <w:adjustRightInd w:val="0"/>
        <w:snapToGrid w:val="0"/>
        <w:spacing w:line="360" w:lineRule="auto"/>
        <w:ind w:firstLine="480" w:firstLineChars="200"/>
        <w:jc w:val="both"/>
        <w:rPr>
          <w:rFonts w:ascii="Times New Roman" w:hAnsi="Times New Roman" w:cs="Times New Roman"/>
          <w:kern w:val="2"/>
          <w:szCs w:val="20"/>
        </w:rPr>
      </w:pPr>
      <w:r>
        <w:rPr>
          <w:rFonts w:hint="eastAsia" w:ascii="Times New Roman" w:hAnsi="Times New Roman" w:cs="Times New Roman"/>
          <w:kern w:val="2"/>
          <w:szCs w:val="20"/>
        </w:rPr>
        <w:t>中广核核技术发展股份有限公司（以下简称“公司”）于</w:t>
      </w:r>
      <w:r>
        <w:rPr>
          <w:rFonts w:ascii="Times New Roman" w:hAnsi="Times New Roman" w:cs="Times New Roman"/>
          <w:kern w:val="2"/>
          <w:szCs w:val="20"/>
        </w:rPr>
        <w:t>202</w:t>
      </w:r>
      <w:r>
        <w:rPr>
          <w:rFonts w:hint="eastAsia" w:ascii="Times New Roman" w:hAnsi="Times New Roman" w:cs="Times New Roman"/>
          <w:kern w:val="2"/>
          <w:szCs w:val="20"/>
        </w:rPr>
        <w:t>4</w:t>
      </w:r>
      <w:r>
        <w:rPr>
          <w:rFonts w:ascii="Times New Roman" w:hAnsi="Times New Roman" w:cs="Times New Roman"/>
          <w:kern w:val="2"/>
          <w:szCs w:val="20"/>
        </w:rPr>
        <w:t>年</w:t>
      </w:r>
      <w:r>
        <w:rPr>
          <w:rFonts w:hint="eastAsia" w:ascii="Times New Roman" w:hAnsi="Times New Roman" w:cs="Times New Roman"/>
          <w:kern w:val="2"/>
          <w:szCs w:val="20"/>
        </w:rPr>
        <w:t>4</w:t>
      </w:r>
      <w:r>
        <w:rPr>
          <w:rFonts w:ascii="Times New Roman" w:hAnsi="Times New Roman" w:cs="Times New Roman"/>
          <w:kern w:val="2"/>
          <w:szCs w:val="20"/>
        </w:rPr>
        <w:t>月2</w:t>
      </w:r>
      <w:r>
        <w:rPr>
          <w:rFonts w:hint="eastAsia" w:ascii="Times New Roman" w:hAnsi="Times New Roman" w:cs="Times New Roman"/>
          <w:kern w:val="2"/>
          <w:szCs w:val="20"/>
        </w:rPr>
        <w:t>5</w:t>
      </w:r>
      <w:r>
        <w:rPr>
          <w:rFonts w:ascii="Times New Roman" w:hAnsi="Times New Roman" w:cs="Times New Roman"/>
          <w:kern w:val="2"/>
          <w:szCs w:val="20"/>
        </w:rPr>
        <w:t>日召开</w:t>
      </w:r>
      <w:r>
        <w:rPr>
          <w:rFonts w:hint="eastAsia" w:ascii="Times New Roman" w:hAnsi="Times New Roman" w:cs="Times New Roman"/>
          <w:kern w:val="2"/>
          <w:szCs w:val="20"/>
        </w:rPr>
        <w:t>第十届董事会第十五次会议，审议通过了《关于确认</w:t>
      </w:r>
      <w:r>
        <w:rPr>
          <w:rFonts w:ascii="Times New Roman" w:hAnsi="Times New Roman" w:cs="Times New Roman"/>
          <w:kern w:val="2"/>
          <w:szCs w:val="20"/>
        </w:rPr>
        <w:t>2023年度日常关联交易和预计2024年度日常关联交易的议案</w:t>
      </w:r>
      <w:r>
        <w:rPr>
          <w:rFonts w:hint="eastAsia" w:ascii="Times New Roman" w:hAnsi="Times New Roman" w:cs="Times New Roman"/>
          <w:kern w:val="2"/>
          <w:szCs w:val="20"/>
        </w:rPr>
        <w:t>》，根据日常经营需要，</w:t>
      </w:r>
      <w:r>
        <w:rPr>
          <w:rFonts w:ascii="Times New Roman" w:hAnsi="Times New Roman" w:cs="Times New Roman"/>
          <w:kern w:val="2"/>
          <w:szCs w:val="20"/>
        </w:rPr>
        <w:t>2024年度公司及子公司拟与关联人发生日常关联交易。</w:t>
      </w:r>
      <w:r>
        <w:rPr>
          <w:rFonts w:hint="eastAsia" w:ascii="Times New Roman" w:hAnsi="Times New Roman" w:cs="Times New Roman"/>
          <w:kern w:val="2"/>
          <w:szCs w:val="20"/>
        </w:rPr>
        <w:t>具体内容详见公司于</w:t>
      </w:r>
      <w:r>
        <w:rPr>
          <w:rFonts w:ascii="Times New Roman" w:hAnsi="Times New Roman" w:cs="Times New Roman"/>
          <w:kern w:val="2"/>
          <w:szCs w:val="20"/>
        </w:rPr>
        <w:t>202</w:t>
      </w:r>
      <w:r>
        <w:rPr>
          <w:rFonts w:hint="eastAsia" w:ascii="Times New Roman" w:hAnsi="Times New Roman" w:cs="Times New Roman"/>
          <w:kern w:val="2"/>
          <w:szCs w:val="20"/>
        </w:rPr>
        <w:t>4</w:t>
      </w:r>
      <w:r>
        <w:rPr>
          <w:rFonts w:ascii="Times New Roman" w:hAnsi="Times New Roman" w:cs="Times New Roman"/>
          <w:kern w:val="2"/>
          <w:szCs w:val="20"/>
        </w:rPr>
        <w:t>年</w:t>
      </w:r>
      <w:r>
        <w:rPr>
          <w:rFonts w:hint="eastAsia" w:ascii="Times New Roman" w:hAnsi="Times New Roman" w:cs="Times New Roman"/>
          <w:kern w:val="2"/>
          <w:szCs w:val="20"/>
        </w:rPr>
        <w:t>4</w:t>
      </w:r>
      <w:r>
        <w:rPr>
          <w:rFonts w:ascii="Times New Roman" w:hAnsi="Times New Roman" w:cs="Times New Roman"/>
          <w:kern w:val="2"/>
          <w:szCs w:val="20"/>
        </w:rPr>
        <w:t>月</w:t>
      </w:r>
      <w:r>
        <w:rPr>
          <w:rFonts w:hint="eastAsia" w:ascii="Times New Roman" w:hAnsi="Times New Roman" w:cs="Times New Roman"/>
          <w:kern w:val="2"/>
          <w:szCs w:val="20"/>
        </w:rPr>
        <w:t>27</w:t>
      </w:r>
      <w:r>
        <w:rPr>
          <w:rFonts w:ascii="Times New Roman" w:hAnsi="Times New Roman" w:cs="Times New Roman"/>
          <w:kern w:val="2"/>
          <w:szCs w:val="20"/>
        </w:rPr>
        <w:t>日在巨潮资讯网（www.cninfo.com.cn）披</w:t>
      </w:r>
      <w:r>
        <w:rPr>
          <w:rFonts w:hint="eastAsia" w:ascii="Times New Roman" w:hAnsi="Times New Roman" w:cs="Times New Roman"/>
          <w:kern w:val="2"/>
          <w:szCs w:val="20"/>
        </w:rPr>
        <w:t>露的《关于确认</w:t>
      </w:r>
      <w:r>
        <w:rPr>
          <w:rFonts w:ascii="Times New Roman" w:hAnsi="Times New Roman" w:cs="Times New Roman"/>
          <w:kern w:val="2"/>
          <w:szCs w:val="20"/>
        </w:rPr>
        <w:t>2023年度日常关联交易和预计2024年度</w:t>
      </w:r>
      <w:r>
        <w:rPr>
          <w:rFonts w:hint="eastAsia" w:ascii="Times New Roman" w:hAnsi="Times New Roman" w:cs="Times New Roman"/>
          <w:kern w:val="2"/>
          <w:szCs w:val="20"/>
        </w:rPr>
        <w:t>日常关联交易的公告</w:t>
      </w:r>
      <w:r>
        <w:rPr>
          <w:rFonts w:ascii="Times New Roman" w:hAnsi="Times New Roman" w:cs="Times New Roman"/>
          <w:kern w:val="2"/>
          <w:szCs w:val="20"/>
        </w:rPr>
        <w:t>》（公告编号：202</w:t>
      </w:r>
      <w:r>
        <w:rPr>
          <w:rFonts w:hint="eastAsia" w:ascii="Times New Roman" w:hAnsi="Times New Roman" w:cs="Times New Roman"/>
          <w:kern w:val="2"/>
          <w:szCs w:val="20"/>
        </w:rPr>
        <w:t>4</w:t>
      </w:r>
      <w:r>
        <w:rPr>
          <w:rFonts w:ascii="Times New Roman" w:hAnsi="Times New Roman" w:cs="Times New Roman"/>
          <w:kern w:val="2"/>
          <w:szCs w:val="20"/>
        </w:rPr>
        <w:t>-0</w:t>
      </w:r>
      <w:r>
        <w:rPr>
          <w:rFonts w:hint="eastAsia" w:ascii="Times New Roman" w:hAnsi="Times New Roman" w:cs="Times New Roman"/>
          <w:kern w:val="2"/>
          <w:szCs w:val="20"/>
        </w:rPr>
        <w:t>25</w:t>
      </w:r>
      <w:r>
        <w:rPr>
          <w:rFonts w:ascii="Times New Roman" w:hAnsi="Times New Roman" w:cs="Times New Roman"/>
          <w:kern w:val="2"/>
          <w:szCs w:val="20"/>
        </w:rPr>
        <w:t>）。</w:t>
      </w:r>
    </w:p>
    <w:p>
      <w:pPr>
        <w:widowControl w:val="0"/>
        <w:adjustRightInd w:val="0"/>
        <w:snapToGrid w:val="0"/>
        <w:spacing w:line="360" w:lineRule="auto"/>
        <w:ind w:firstLine="480" w:firstLineChars="200"/>
        <w:jc w:val="both"/>
        <w:rPr>
          <w:rFonts w:ascii="Times New Roman" w:hAnsi="Times New Roman" w:cs="Times New Roman"/>
          <w:kern w:val="2"/>
          <w:szCs w:val="20"/>
        </w:rPr>
      </w:pPr>
      <w:r>
        <w:rPr>
          <w:rFonts w:hint="eastAsia" w:ascii="Times New Roman" w:hAnsi="Times New Roman" w:cs="Times New Roman"/>
          <w:kern w:val="2"/>
          <w:szCs w:val="20"/>
        </w:rPr>
        <w:t>基于公司及子公司日常生产经营及业务发展需要，公司于</w:t>
      </w:r>
      <w:r>
        <w:rPr>
          <w:rFonts w:ascii="Times New Roman" w:hAnsi="Times New Roman" w:cs="Times New Roman"/>
          <w:kern w:val="2"/>
          <w:szCs w:val="20"/>
        </w:rPr>
        <w:t>2024年</w:t>
      </w:r>
      <w:r>
        <w:rPr>
          <w:rFonts w:hint="eastAsia" w:ascii="Times New Roman" w:hAnsi="Times New Roman" w:cs="Times New Roman"/>
          <w:kern w:val="2"/>
          <w:szCs w:val="20"/>
        </w:rPr>
        <w:t>10</w:t>
      </w:r>
      <w:r>
        <w:rPr>
          <w:rFonts w:ascii="Times New Roman" w:hAnsi="Times New Roman" w:cs="Times New Roman"/>
          <w:kern w:val="2"/>
          <w:szCs w:val="20"/>
        </w:rPr>
        <w:t>月</w:t>
      </w:r>
      <w:r>
        <w:rPr>
          <w:rFonts w:hint="eastAsia" w:ascii="Times New Roman" w:hAnsi="Times New Roman" w:cs="Times New Roman"/>
          <w:kern w:val="2"/>
          <w:szCs w:val="20"/>
        </w:rPr>
        <w:t>29</w:t>
      </w:r>
      <w:r>
        <w:rPr>
          <w:rFonts w:ascii="Times New Roman" w:hAnsi="Times New Roman" w:cs="Times New Roman"/>
          <w:kern w:val="2"/>
          <w:szCs w:val="20"/>
        </w:rPr>
        <w:t>日</w:t>
      </w:r>
      <w:r>
        <w:rPr>
          <w:rFonts w:hint="eastAsia" w:ascii="Times New Roman" w:hAnsi="Times New Roman" w:cs="Times New Roman"/>
          <w:kern w:val="2"/>
          <w:szCs w:val="20"/>
        </w:rPr>
        <w:t>召开第十届董事会第二十次会议，审议通过了《关于上调关联交易额度的议案》，拟增加公司及子公司与关联方</w:t>
      </w:r>
      <w:r>
        <w:rPr>
          <w:rFonts w:ascii="Times New Roman" w:hAnsi="Times New Roman" w:cs="Times New Roman"/>
          <w:kern w:val="2"/>
          <w:szCs w:val="20"/>
        </w:rPr>
        <w:t>之间2024年度的日常关联交易额</w:t>
      </w:r>
      <w:r>
        <w:rPr>
          <w:rFonts w:hint="eastAsia" w:ascii="Times New Roman" w:hAnsi="Times New Roman" w:cs="Times New Roman"/>
          <w:kern w:val="2"/>
          <w:szCs w:val="20"/>
        </w:rPr>
        <w:t>度。</w:t>
      </w:r>
    </w:p>
    <w:p>
      <w:pPr>
        <w:widowControl w:val="0"/>
        <w:adjustRightInd w:val="0"/>
        <w:snapToGrid w:val="0"/>
        <w:spacing w:line="360" w:lineRule="auto"/>
        <w:ind w:firstLine="480" w:firstLineChars="200"/>
        <w:jc w:val="both"/>
        <w:rPr>
          <w:rFonts w:ascii="Times New Roman" w:hAnsi="Times New Roman" w:cs="Times New Roman"/>
          <w:kern w:val="2"/>
          <w:szCs w:val="20"/>
        </w:rPr>
      </w:pPr>
      <w:r>
        <w:rPr>
          <w:rFonts w:hint="eastAsia" w:ascii="Times New Roman" w:hAnsi="Times New Roman" w:cs="Times New Roman"/>
          <w:kern w:val="2"/>
          <w:szCs w:val="20"/>
        </w:rPr>
        <w:t>根据《深圳证券交易所股票上市规则》《深圳证券交易所上市公司自律监管指引第</w:t>
      </w:r>
      <w:r>
        <w:rPr>
          <w:rFonts w:ascii="Times New Roman" w:hAnsi="Times New Roman" w:cs="Times New Roman"/>
          <w:kern w:val="2"/>
          <w:szCs w:val="20"/>
        </w:rPr>
        <w:t>1 号——主板上市公司规范运作》和《公司章程》的相关规定，董事会审</w:t>
      </w:r>
      <w:r>
        <w:rPr>
          <w:rFonts w:hint="eastAsia" w:ascii="Times New Roman" w:hAnsi="Times New Roman" w:cs="Times New Roman"/>
          <w:kern w:val="2"/>
          <w:szCs w:val="20"/>
        </w:rPr>
        <w:t>议过程中关联董事李勇、盛国福、何祖元、牟文君已回避表决。本次关联交易事项已经公司独立董事专门会议审议通过。本次关联交易事项在公司董事会权限范围内，无需提交公司股东会审议。</w:t>
      </w:r>
    </w:p>
    <w:p>
      <w:pPr>
        <w:pStyle w:val="21"/>
        <w:adjustRightInd w:val="0"/>
        <w:snapToGrid w:val="0"/>
        <w:spacing w:line="360" w:lineRule="auto"/>
        <w:ind w:firstLine="482"/>
        <w:outlineLvl w:val="1"/>
        <w:rPr>
          <w:b/>
          <w:sz w:val="24"/>
        </w:rPr>
      </w:pPr>
      <w:r>
        <w:rPr>
          <w:b/>
          <w:sz w:val="24"/>
        </w:rPr>
        <w:t>（二）</w:t>
      </w:r>
      <w:r>
        <w:rPr>
          <w:rFonts w:hint="eastAsia"/>
          <w:b/>
          <w:sz w:val="24"/>
        </w:rPr>
        <w:t>预计</w:t>
      </w:r>
      <w:r>
        <w:rPr>
          <w:rFonts w:hint="eastAsia"/>
          <w:b/>
          <w:sz w:val="24"/>
          <w:lang w:val="en-US" w:eastAsia="zh-CN"/>
        </w:rPr>
        <w:t>增加</w:t>
      </w:r>
      <w:r>
        <w:rPr>
          <w:rFonts w:hint="eastAsia"/>
          <w:b/>
          <w:sz w:val="24"/>
        </w:rPr>
        <w:t>日常关联交易类别和金额</w:t>
      </w:r>
    </w:p>
    <w:p>
      <w:pPr>
        <w:pStyle w:val="21"/>
        <w:adjustRightInd w:val="0"/>
        <w:snapToGrid w:val="0"/>
        <w:spacing w:line="360" w:lineRule="auto"/>
        <w:ind w:firstLine="482"/>
        <w:outlineLvl w:val="1"/>
        <w:rPr>
          <w:b w:val="0"/>
          <w:bCs/>
          <w:sz w:val="24"/>
        </w:rPr>
      </w:pPr>
      <w:r>
        <w:rPr>
          <w:rFonts w:hint="eastAsia"/>
          <w:b w:val="0"/>
          <w:bCs/>
          <w:sz w:val="24"/>
          <w:lang w:val="en-US" w:eastAsia="zh-CN"/>
        </w:rPr>
        <w:t>本次</w:t>
      </w:r>
      <w:r>
        <w:rPr>
          <w:rFonts w:hint="eastAsia"/>
          <w:b w:val="0"/>
          <w:bCs/>
          <w:sz w:val="24"/>
        </w:rPr>
        <w:t>预计</w:t>
      </w:r>
      <w:r>
        <w:rPr>
          <w:rFonts w:hint="eastAsia"/>
          <w:b w:val="0"/>
          <w:bCs/>
          <w:sz w:val="24"/>
          <w:lang w:val="en-US" w:eastAsia="zh-CN"/>
        </w:rPr>
        <w:t>增加</w:t>
      </w:r>
      <w:r>
        <w:rPr>
          <w:b w:val="0"/>
          <w:bCs/>
          <w:sz w:val="24"/>
        </w:rPr>
        <w:t>2024年度公司及子公司与关联方发生的各类日常关联交易情况如下：</w:t>
      </w:r>
    </w:p>
    <w:p>
      <w:pPr>
        <w:pStyle w:val="21"/>
        <w:adjustRightInd w:val="0"/>
        <w:snapToGrid w:val="0"/>
        <w:spacing w:line="360" w:lineRule="auto"/>
        <w:ind w:firstLine="482"/>
        <w:outlineLvl w:val="1"/>
        <w:rPr>
          <w:b w:val="0"/>
          <w:bCs/>
          <w:sz w:val="24"/>
        </w:rPr>
      </w:pPr>
    </w:p>
    <w:p>
      <w:pPr>
        <w:pStyle w:val="21"/>
        <w:adjustRightInd w:val="0"/>
        <w:snapToGrid w:val="0"/>
        <w:spacing w:line="360" w:lineRule="auto"/>
        <w:ind w:firstLine="482"/>
        <w:outlineLvl w:val="1"/>
        <w:rPr>
          <w:b w:val="0"/>
          <w:bCs/>
          <w:sz w:val="24"/>
        </w:rPr>
      </w:pPr>
    </w:p>
    <w:p>
      <w:pPr>
        <w:pStyle w:val="21"/>
        <w:adjustRightInd w:val="0"/>
        <w:snapToGrid w:val="0"/>
        <w:spacing w:line="360" w:lineRule="auto"/>
        <w:ind w:firstLine="482"/>
        <w:outlineLvl w:val="1"/>
        <w:rPr>
          <w:b w:val="0"/>
          <w:bCs/>
          <w:sz w:val="24"/>
        </w:rPr>
      </w:pPr>
    </w:p>
    <w:p>
      <w:pPr>
        <w:pStyle w:val="21"/>
        <w:adjustRightInd w:val="0"/>
        <w:snapToGrid w:val="0"/>
        <w:spacing w:line="360" w:lineRule="auto"/>
        <w:ind w:firstLine="482"/>
        <w:outlineLvl w:val="1"/>
        <w:rPr>
          <w:b w:val="0"/>
          <w:bCs/>
          <w:sz w:val="24"/>
        </w:rPr>
      </w:pPr>
    </w:p>
    <w:p>
      <w:pPr>
        <w:pStyle w:val="21"/>
        <w:adjustRightInd w:val="0"/>
        <w:snapToGrid w:val="0"/>
        <w:spacing w:line="360" w:lineRule="auto"/>
        <w:ind w:firstLine="482"/>
        <w:outlineLvl w:val="1"/>
        <w:rPr>
          <w:b w:val="0"/>
          <w:bCs/>
          <w:sz w:val="24"/>
        </w:rPr>
      </w:pPr>
    </w:p>
    <w:p>
      <w:pPr>
        <w:tabs>
          <w:tab w:val="left" w:pos="720"/>
        </w:tabs>
        <w:spacing w:line="360" w:lineRule="auto"/>
        <w:ind w:firstLine="360" w:firstLineChars="20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单位：万元</w:t>
      </w:r>
    </w:p>
    <w:tbl>
      <w:tblPr>
        <w:tblStyle w:val="8"/>
        <w:tblW w:w="86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1134"/>
        <w:gridCol w:w="992"/>
        <w:gridCol w:w="1134"/>
        <w:gridCol w:w="1134"/>
        <w:gridCol w:w="1134"/>
        <w:gridCol w:w="1134"/>
        <w:gridCol w:w="13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65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18"/>
                <w:szCs w:val="18"/>
              </w:rPr>
              <w:t>关联交易类别</w:t>
            </w:r>
          </w:p>
        </w:tc>
        <w:tc>
          <w:tcPr>
            <w:tcW w:w="1134" w:type="dxa"/>
            <w:shd w:val="clear" w:color="auto" w:fill="D8D8D8" w:themeFill="background1" w:themeFillShade="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关联人</w:t>
            </w:r>
          </w:p>
        </w:tc>
        <w:tc>
          <w:tcPr>
            <w:tcW w:w="992" w:type="dxa"/>
            <w:shd w:val="clear" w:color="auto" w:fill="D8D8D8" w:themeFill="background1" w:themeFillShade="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kern w:val="24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kern w:val="24"/>
                <w:sz w:val="18"/>
                <w:szCs w:val="18"/>
              </w:rPr>
              <w:t>关联交</w:t>
            </w:r>
          </w:p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kern w:val="24"/>
                <w:sz w:val="18"/>
                <w:szCs w:val="18"/>
              </w:rPr>
              <w:t>易内容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kern w:val="24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kern w:val="24"/>
                <w:sz w:val="18"/>
                <w:szCs w:val="18"/>
              </w:rPr>
              <w:t>关联交易</w:t>
            </w:r>
          </w:p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kern w:val="24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kern w:val="24"/>
                <w:sz w:val="18"/>
                <w:szCs w:val="18"/>
              </w:rPr>
              <w:t>定价原则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kern w:val="24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kern w:val="24"/>
                <w:sz w:val="18"/>
                <w:szCs w:val="18"/>
              </w:rPr>
              <w:t>原预计合同</w:t>
            </w:r>
          </w:p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kern w:val="24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kern w:val="24"/>
                <w:sz w:val="18"/>
                <w:szCs w:val="18"/>
              </w:rPr>
              <w:t>签订金额或</w:t>
            </w:r>
          </w:p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kern w:val="24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kern w:val="24"/>
                <w:sz w:val="18"/>
                <w:szCs w:val="18"/>
              </w:rPr>
              <w:t>预计金额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kern w:val="24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kern w:val="24"/>
                <w:sz w:val="18"/>
                <w:szCs w:val="18"/>
              </w:rPr>
              <w:t>增加</w:t>
            </w:r>
          </w:p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kern w:val="24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kern w:val="24"/>
                <w:sz w:val="18"/>
                <w:szCs w:val="18"/>
              </w:rPr>
              <w:t>金额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kern w:val="24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kern w:val="24"/>
                <w:sz w:val="18"/>
                <w:szCs w:val="18"/>
              </w:rPr>
              <w:t>增加后合同</w:t>
            </w:r>
          </w:p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kern w:val="24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kern w:val="24"/>
                <w:sz w:val="18"/>
                <w:szCs w:val="18"/>
              </w:rPr>
              <w:t>签订金额或</w:t>
            </w:r>
          </w:p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kern w:val="24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kern w:val="24"/>
                <w:sz w:val="18"/>
                <w:szCs w:val="18"/>
              </w:rPr>
              <w:t>预计金额</w:t>
            </w:r>
          </w:p>
        </w:tc>
        <w:tc>
          <w:tcPr>
            <w:tcW w:w="133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color w:val="auto"/>
                <w:kern w:val="24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4"/>
                <w:sz w:val="18"/>
                <w:szCs w:val="18"/>
                <w:lang w:val="en-US" w:eastAsia="zh-CN"/>
              </w:rPr>
              <w:t>年初至披露日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24"/>
                <w:sz w:val="18"/>
                <w:szCs w:val="18"/>
              </w:rPr>
              <w:t>已发生金额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1080"/>
              </w:tabs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kern w:val="24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向关联人销售产品、商品</w:t>
            </w:r>
          </w:p>
        </w:tc>
        <w:tc>
          <w:tcPr>
            <w:tcW w:w="113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 w:val="0"/>
              <w:tabs>
                <w:tab w:val="left" w:pos="1080"/>
              </w:tabs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spacing w:val="-4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中国广核集团有限公司及其下属子公司</w:t>
            </w:r>
          </w:p>
        </w:tc>
        <w:tc>
          <w:tcPr>
            <w:tcW w:w="99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 w:val="0"/>
              <w:tabs>
                <w:tab w:val="left" w:pos="1080"/>
              </w:tabs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spacing w:val="-4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向关联人销售产品、商品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1080"/>
              </w:tabs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spacing w:val="-4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  <w:lang w:val="en-US" w:eastAsia="zh-CN"/>
              </w:rPr>
              <w:t>公开招标价格或市场公允价格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widowControl w:val="0"/>
              <w:tabs>
                <w:tab w:val="left" w:pos="1080"/>
              </w:tabs>
              <w:adjustRightInd w:val="0"/>
              <w:snapToGrid w:val="0"/>
              <w:jc w:val="right"/>
              <w:rPr>
                <w:rFonts w:ascii="Times New Roman" w:hAnsi="Times New Roman" w:cs="Times New Roman" w:eastAsiaTheme="minorEastAsia"/>
                <w:spacing w:val="-4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spacing w:val="-4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Theme="minorEastAsia"/>
                <w:spacing w:val="-4"/>
                <w:sz w:val="18"/>
                <w:szCs w:val="18"/>
              </w:rPr>
              <w:t>,</w:t>
            </w:r>
            <w:r>
              <w:rPr>
                <w:rFonts w:hint="eastAsia" w:ascii="Times New Roman" w:hAnsi="Times New Roman" w:cs="Times New Roman" w:eastAsiaTheme="minorEastAsia"/>
                <w:spacing w:val="-4"/>
                <w:sz w:val="18"/>
                <w:szCs w:val="18"/>
              </w:rPr>
              <w:t>110.14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tabs>
                <w:tab w:val="left" w:pos="1080"/>
              </w:tabs>
              <w:adjustRightInd w:val="0"/>
              <w:snapToGrid w:val="0"/>
              <w:jc w:val="right"/>
              <w:rPr>
                <w:rFonts w:ascii="Times New Roman" w:hAnsi="Times New Roman" w:cs="Times New Roman" w:eastAsiaTheme="minorEastAsia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pacing w:val="-4"/>
                <w:sz w:val="18"/>
                <w:szCs w:val="18"/>
              </w:rPr>
              <w:t>9</w:t>
            </w:r>
            <w:r>
              <w:rPr>
                <w:rFonts w:hint="eastAsia" w:ascii="Times New Roman" w:hAnsi="Times New Roman" w:cs="Times New Roman" w:eastAsiaTheme="minorEastAsia"/>
                <w:spacing w:val="-4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 w:eastAsiaTheme="minorEastAsia"/>
                <w:spacing w:val="-4"/>
                <w:sz w:val="18"/>
                <w:szCs w:val="18"/>
              </w:rPr>
              <w:t>000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tabs>
                <w:tab w:val="left" w:pos="1080"/>
              </w:tabs>
              <w:adjustRightInd w:val="0"/>
              <w:snapToGrid w:val="0"/>
              <w:jc w:val="right"/>
              <w:rPr>
                <w:rFonts w:ascii="Times New Roman" w:hAnsi="Times New Roman" w:cs="Times New Roman" w:eastAsiaTheme="minorEastAsia"/>
                <w:spacing w:val="-4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spacing w:val="-4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 w:eastAsiaTheme="minorEastAsia"/>
                <w:spacing w:val="-4"/>
                <w:sz w:val="18"/>
                <w:szCs w:val="18"/>
              </w:rPr>
              <w:t>,</w:t>
            </w:r>
            <w:r>
              <w:rPr>
                <w:rFonts w:hint="eastAsia" w:ascii="Times New Roman" w:hAnsi="Times New Roman" w:cs="Times New Roman" w:eastAsiaTheme="minorEastAsia"/>
                <w:spacing w:val="-4"/>
                <w:sz w:val="18"/>
                <w:szCs w:val="18"/>
              </w:rPr>
              <w:t>110.14</w:t>
            </w:r>
          </w:p>
        </w:tc>
        <w:tc>
          <w:tcPr>
            <w:tcW w:w="1333" w:type="dxa"/>
            <w:vAlign w:val="center"/>
          </w:tcPr>
          <w:p>
            <w:pPr>
              <w:widowControl w:val="0"/>
              <w:tabs>
                <w:tab w:val="left" w:pos="1080"/>
              </w:tabs>
              <w:adjustRightInd w:val="0"/>
              <w:snapToGrid w:val="0"/>
              <w:jc w:val="right"/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18"/>
                <w:szCs w:val="18"/>
                <w:lang w:val="en-US" w:eastAsia="zh-CN"/>
              </w:rPr>
              <w:t>2,019.05</w:t>
            </w:r>
          </w:p>
        </w:tc>
      </w:tr>
    </w:tbl>
    <w:p>
      <w:pPr>
        <w:pStyle w:val="21"/>
        <w:adjustRightInd w:val="0"/>
        <w:snapToGrid w:val="0"/>
        <w:spacing w:line="360" w:lineRule="auto"/>
        <w:ind w:firstLine="482"/>
        <w:outlineLvl w:val="0"/>
        <w:rPr>
          <w:b/>
          <w:sz w:val="24"/>
        </w:rPr>
      </w:pPr>
      <w:r>
        <w:rPr>
          <w:b/>
          <w:sz w:val="24"/>
        </w:rPr>
        <w:t>二、关联人介绍和关联关系</w:t>
      </w:r>
    </w:p>
    <w:p>
      <w:pPr>
        <w:pStyle w:val="21"/>
        <w:adjustRightInd w:val="0"/>
        <w:snapToGrid w:val="0"/>
        <w:spacing w:line="360" w:lineRule="auto"/>
        <w:ind w:firstLine="482"/>
        <w:outlineLvl w:val="1"/>
        <w:rPr>
          <w:b/>
          <w:sz w:val="24"/>
        </w:rPr>
      </w:pPr>
      <w:r>
        <w:rPr>
          <w:b/>
          <w:sz w:val="24"/>
        </w:rPr>
        <w:t>（一）中国广核集团有限公司</w:t>
      </w:r>
    </w:p>
    <w:p>
      <w:pPr>
        <w:widowControl w:val="0"/>
        <w:adjustRightInd w:val="0"/>
        <w:snapToGrid w:val="0"/>
        <w:spacing w:line="360" w:lineRule="auto"/>
        <w:ind w:firstLine="480" w:firstLineChars="20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1</w:t>
      </w:r>
      <w:r>
        <w:rPr>
          <w:rFonts w:hint="eastAsia" w:ascii="Times New Roman" w:hAnsi="Times New Roman" w:cs="Times New Roman"/>
          <w:kern w:val="2"/>
          <w:lang w:eastAsia="zh-CN"/>
        </w:rPr>
        <w:t>.</w:t>
      </w:r>
      <w:r>
        <w:rPr>
          <w:rFonts w:ascii="Times New Roman" w:hAnsi="Times New Roman" w:cs="Times New Roman"/>
          <w:kern w:val="2"/>
        </w:rPr>
        <w:t>基本情况</w:t>
      </w:r>
    </w:p>
    <w:p>
      <w:pPr>
        <w:widowControl w:val="0"/>
        <w:adjustRightInd w:val="0"/>
        <w:snapToGrid w:val="0"/>
        <w:spacing w:line="360" w:lineRule="auto"/>
        <w:ind w:firstLine="480" w:firstLineChars="20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企业名称：中国广核集团有限公司</w:t>
      </w:r>
    </w:p>
    <w:p>
      <w:pPr>
        <w:widowControl w:val="0"/>
        <w:adjustRightInd w:val="0"/>
        <w:snapToGrid w:val="0"/>
        <w:spacing w:line="360" w:lineRule="auto"/>
        <w:ind w:firstLine="480" w:firstLineChars="20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公司类型：有限责任公司</w:t>
      </w:r>
    </w:p>
    <w:p>
      <w:pPr>
        <w:widowControl w:val="0"/>
        <w:adjustRightInd w:val="0"/>
        <w:snapToGrid w:val="0"/>
        <w:spacing w:line="360" w:lineRule="auto"/>
        <w:ind w:firstLine="480" w:firstLineChars="20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法定代表人：杨长利</w:t>
      </w:r>
    </w:p>
    <w:p>
      <w:pPr>
        <w:widowControl w:val="0"/>
        <w:adjustRightInd w:val="0"/>
        <w:snapToGrid w:val="0"/>
        <w:spacing w:line="360" w:lineRule="auto"/>
        <w:ind w:firstLine="480" w:firstLineChars="20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注册资本：1,487,337万</w:t>
      </w:r>
      <w:r>
        <w:rPr>
          <w:rFonts w:hint="eastAsia" w:ascii="Times New Roman" w:hAnsi="Times New Roman" w:cs="Times New Roman"/>
          <w:kern w:val="2"/>
        </w:rPr>
        <w:t>元</w:t>
      </w:r>
      <w:r>
        <w:rPr>
          <w:rFonts w:ascii="Times New Roman" w:hAnsi="Times New Roman" w:cs="Times New Roman"/>
          <w:kern w:val="2"/>
        </w:rPr>
        <w:t>人民币</w:t>
      </w:r>
    </w:p>
    <w:p>
      <w:pPr>
        <w:widowControl w:val="0"/>
        <w:adjustRightInd w:val="0"/>
        <w:snapToGrid w:val="0"/>
        <w:spacing w:line="360" w:lineRule="auto"/>
        <w:ind w:firstLine="480" w:firstLineChars="20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住所：深圳市福田区深南大道2002号中广核大厦南楼33楼</w:t>
      </w:r>
    </w:p>
    <w:p>
      <w:pPr>
        <w:widowControl w:val="0"/>
        <w:adjustRightInd w:val="0"/>
        <w:snapToGrid w:val="0"/>
        <w:spacing w:line="360" w:lineRule="auto"/>
        <w:ind w:firstLine="480" w:firstLineChars="20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经营范围：从事以核电和其他清洁能源为主的开发、投资建设、经营和管理；组织电力（热力）生产和销售；开展核电技术研发、咨询服务；开展以核电为主的工程承包与咨询服务，核电站在役、退役服务；开展核技术应用、以清洁能源为主的能源资源综合利用、节能环保等相关产业投资建设与经营管理。开展天然铀资源的勘查、境外天然铀资源的开发及相关贸易与服务。开展核废料处置及乏燃料中间贮存、运输、处理等业务。从事与核电开发相关的国内外投融资业务，从事清洁能源产业配套服务及现代综合服务业。</w:t>
      </w:r>
    </w:p>
    <w:p>
      <w:pPr>
        <w:widowControl w:val="0"/>
        <w:adjustRightInd w:val="0"/>
        <w:snapToGrid w:val="0"/>
        <w:spacing w:line="360" w:lineRule="auto"/>
        <w:ind w:firstLine="480" w:firstLineChars="20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主要财务数据</w:t>
      </w:r>
      <w:r>
        <w:rPr>
          <w:rFonts w:hint="eastAsia" w:ascii="Times New Roman" w:hAnsi="Times New Roman" w:cs="Times New Roman"/>
          <w:kern w:val="2"/>
          <w:lang w:eastAsia="zh-CN"/>
        </w:rPr>
        <w:t>（</w:t>
      </w:r>
      <w:r>
        <w:rPr>
          <w:rFonts w:hint="eastAsia" w:ascii="Times New Roman" w:hAnsi="Times New Roman" w:cs="Times New Roman"/>
          <w:kern w:val="2"/>
          <w:lang w:val="en-US" w:eastAsia="zh-CN"/>
        </w:rPr>
        <w:t>母公司财务报表</w:t>
      </w:r>
      <w:r>
        <w:rPr>
          <w:rFonts w:hint="eastAsia" w:ascii="Times New Roman" w:hAnsi="Times New Roman" w:cs="Times New Roman"/>
          <w:kern w:val="2"/>
          <w:lang w:eastAsia="zh-CN"/>
        </w:rPr>
        <w:t>）</w:t>
      </w:r>
      <w:r>
        <w:rPr>
          <w:rFonts w:ascii="Times New Roman" w:hAnsi="Times New Roman" w:cs="Times New Roman"/>
          <w:kern w:val="2"/>
        </w:rPr>
        <w:t>：20</w:t>
      </w:r>
      <w:r>
        <w:rPr>
          <w:rFonts w:hint="eastAsia" w:ascii="Times New Roman" w:hAnsi="Times New Roman" w:cs="Times New Roman"/>
          <w:kern w:val="2"/>
        </w:rPr>
        <w:t>24</w:t>
      </w:r>
      <w:r>
        <w:rPr>
          <w:rFonts w:ascii="Times New Roman" w:hAnsi="Times New Roman" w:cs="Times New Roman"/>
          <w:kern w:val="2"/>
        </w:rPr>
        <w:t>年</w:t>
      </w:r>
      <w:r>
        <w:rPr>
          <w:rFonts w:hint="eastAsia" w:ascii="Times New Roman" w:hAnsi="Times New Roman" w:cs="Times New Roman"/>
          <w:kern w:val="2"/>
        </w:rPr>
        <w:t>6月末</w:t>
      </w:r>
      <w:r>
        <w:rPr>
          <w:rFonts w:ascii="Times New Roman" w:hAnsi="Times New Roman" w:cs="Times New Roman"/>
          <w:kern w:val="2"/>
        </w:rPr>
        <w:t>总资产</w:t>
      </w:r>
      <w:r>
        <w:rPr>
          <w:rFonts w:hint="eastAsia" w:ascii="Times New Roman" w:hAnsi="Times New Roman" w:cs="Times New Roman"/>
          <w:kern w:val="2"/>
        </w:rPr>
        <w:t>15</w:t>
      </w:r>
      <w:r>
        <w:rPr>
          <w:rFonts w:ascii="Times New Roman" w:hAnsi="Times New Roman" w:cs="Times New Roman"/>
          <w:kern w:val="2"/>
        </w:rPr>
        <w:t>,</w:t>
      </w:r>
      <w:r>
        <w:rPr>
          <w:rFonts w:hint="eastAsia" w:ascii="Times New Roman" w:hAnsi="Times New Roman" w:cs="Times New Roman"/>
          <w:kern w:val="2"/>
        </w:rPr>
        <w:t>959</w:t>
      </w:r>
      <w:r>
        <w:rPr>
          <w:rFonts w:ascii="Times New Roman" w:hAnsi="Times New Roman" w:cs="Times New Roman"/>
          <w:kern w:val="2"/>
        </w:rPr>
        <w:t>,</w:t>
      </w:r>
      <w:r>
        <w:rPr>
          <w:rFonts w:hint="eastAsia" w:ascii="Times New Roman" w:hAnsi="Times New Roman" w:cs="Times New Roman"/>
          <w:kern w:val="2"/>
        </w:rPr>
        <w:t>762.77</w:t>
      </w:r>
      <w:r>
        <w:rPr>
          <w:rFonts w:ascii="Times New Roman" w:hAnsi="Times New Roman" w:cs="Times New Roman"/>
          <w:kern w:val="2"/>
        </w:rPr>
        <w:t>万元，净资产13,500,048.96万元，20</w:t>
      </w:r>
      <w:r>
        <w:rPr>
          <w:rFonts w:hint="eastAsia" w:ascii="Times New Roman" w:hAnsi="Times New Roman" w:cs="Times New Roman"/>
          <w:kern w:val="2"/>
        </w:rPr>
        <w:t>24</w:t>
      </w:r>
      <w:r>
        <w:rPr>
          <w:rFonts w:ascii="Times New Roman" w:hAnsi="Times New Roman" w:cs="Times New Roman"/>
          <w:kern w:val="2"/>
        </w:rPr>
        <w:t>年</w:t>
      </w:r>
      <w:r>
        <w:rPr>
          <w:rFonts w:hint="eastAsia" w:ascii="Times New Roman" w:hAnsi="Times New Roman" w:cs="Times New Roman"/>
          <w:kern w:val="2"/>
          <w:lang w:val="en-US" w:eastAsia="zh-CN"/>
        </w:rPr>
        <w:t>1-</w:t>
      </w:r>
      <w:r>
        <w:rPr>
          <w:rFonts w:hint="eastAsia" w:ascii="Times New Roman" w:hAnsi="Times New Roman" w:cs="Times New Roman"/>
          <w:kern w:val="2"/>
        </w:rPr>
        <w:t>6月</w:t>
      </w:r>
      <w:r>
        <w:rPr>
          <w:rFonts w:hint="eastAsia" w:ascii="Times New Roman" w:hAnsi="Times New Roman" w:cs="Times New Roman"/>
          <w:kern w:val="2"/>
          <w:lang w:val="en-US" w:eastAsia="zh-CN"/>
        </w:rPr>
        <w:t>营业</w:t>
      </w:r>
      <w:r>
        <w:rPr>
          <w:rFonts w:ascii="Times New Roman" w:hAnsi="Times New Roman" w:cs="Times New Roman"/>
          <w:kern w:val="2"/>
        </w:rPr>
        <w:t>收入10,003.45万元，净利润</w:t>
      </w:r>
      <w:r>
        <w:rPr>
          <w:rFonts w:hint="eastAsia" w:ascii="Times New Roman" w:hAnsi="Times New Roman" w:cs="Times New Roman"/>
          <w:kern w:val="2"/>
        </w:rPr>
        <w:t>2</w:t>
      </w:r>
      <w:r>
        <w:rPr>
          <w:rFonts w:ascii="Times New Roman" w:hAnsi="Times New Roman" w:cs="Times New Roman"/>
          <w:kern w:val="2"/>
        </w:rPr>
        <w:t>69,195.93万元</w:t>
      </w:r>
      <w:r>
        <w:rPr>
          <w:rFonts w:ascii="Times New Roman" w:hAnsi="Times New Roman" w:cs="Times New Roman"/>
          <w:color w:val="auto"/>
          <w:kern w:val="2"/>
        </w:rPr>
        <w:t>（</w:t>
      </w:r>
      <w:r>
        <w:rPr>
          <w:rFonts w:hint="eastAsia" w:ascii="Times New Roman" w:hAnsi="Times New Roman" w:cs="Times New Roman"/>
          <w:color w:val="auto"/>
          <w:kern w:val="2"/>
        </w:rPr>
        <w:t>未</w:t>
      </w:r>
      <w:r>
        <w:rPr>
          <w:rFonts w:ascii="Times New Roman" w:hAnsi="Times New Roman" w:cs="Times New Roman"/>
          <w:color w:val="auto"/>
          <w:kern w:val="2"/>
        </w:rPr>
        <w:t>经审计）。</w:t>
      </w:r>
    </w:p>
    <w:p>
      <w:pPr>
        <w:widowControl w:val="0"/>
        <w:adjustRightInd w:val="0"/>
        <w:snapToGrid w:val="0"/>
        <w:spacing w:line="360" w:lineRule="auto"/>
        <w:ind w:firstLine="480" w:firstLineChars="20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2</w:t>
      </w:r>
      <w:r>
        <w:rPr>
          <w:rFonts w:hint="eastAsia" w:ascii="Times New Roman" w:hAnsi="Times New Roman" w:cs="Times New Roman"/>
          <w:kern w:val="2"/>
          <w:lang w:eastAsia="zh-CN"/>
        </w:rPr>
        <w:t>.</w:t>
      </w:r>
      <w:r>
        <w:rPr>
          <w:rFonts w:ascii="Times New Roman" w:hAnsi="Times New Roman" w:cs="Times New Roman"/>
          <w:kern w:val="2"/>
        </w:rPr>
        <w:t>与公司的关联关系</w:t>
      </w:r>
    </w:p>
    <w:p>
      <w:pPr>
        <w:widowControl w:val="0"/>
        <w:adjustRightInd w:val="0"/>
        <w:snapToGrid w:val="0"/>
        <w:spacing w:line="360" w:lineRule="auto"/>
        <w:ind w:firstLine="480" w:firstLineChars="200"/>
        <w:jc w:val="both"/>
        <w:rPr>
          <w:rFonts w:hint="eastAsia" w:ascii="Times New Roman" w:hAnsi="Times New Roman" w:eastAsia="宋体" w:cs="Times New Roman"/>
          <w:kern w:val="2"/>
          <w:lang w:val="en-US" w:eastAsia="zh-CN"/>
        </w:rPr>
      </w:pPr>
      <w:r>
        <w:rPr>
          <w:rFonts w:ascii="Times New Roman" w:hAnsi="Times New Roman" w:cs="Times New Roman"/>
          <w:kern w:val="2"/>
        </w:rPr>
        <w:t>中国广核集团有限公司系公司实际控制人，符合《深圳证券交易所股票上市规则》</w:t>
      </w:r>
      <w:r>
        <w:rPr>
          <w:rFonts w:hint="eastAsia" w:ascii="Times New Roman" w:hAnsi="Times New Roman" w:cs="Times New Roman"/>
          <w:kern w:val="2"/>
        </w:rPr>
        <w:t>第</w:t>
      </w:r>
      <w:r>
        <w:rPr>
          <w:rFonts w:ascii="Times New Roman" w:hAnsi="Times New Roman" w:cs="Times New Roman"/>
          <w:kern w:val="2"/>
        </w:rPr>
        <w:t>6.3.3条第二款第一项规定的关联关系。</w:t>
      </w:r>
      <w:r>
        <w:rPr>
          <w:rFonts w:hint="eastAsia" w:ascii="Times New Roman" w:hAnsi="Times New Roman" w:cs="Times New Roman"/>
          <w:kern w:val="2"/>
        </w:rPr>
        <w:t>中国广核集团有限公司</w:t>
      </w:r>
      <w:r>
        <w:rPr>
          <w:rFonts w:hint="eastAsia" w:ascii="Times New Roman" w:hAnsi="Times New Roman" w:cs="Times New Roman"/>
          <w:kern w:val="2"/>
          <w:lang w:val="en-US" w:eastAsia="zh-CN"/>
        </w:rPr>
        <w:t>的</w:t>
      </w:r>
      <w:r>
        <w:rPr>
          <w:rFonts w:hint="eastAsia" w:ascii="Times New Roman" w:hAnsi="Times New Roman" w:cs="Times New Roman"/>
          <w:kern w:val="2"/>
        </w:rPr>
        <w:t>下属子公司</w:t>
      </w:r>
      <w:r>
        <w:rPr>
          <w:rFonts w:hint="eastAsia" w:ascii="Times New Roman" w:hAnsi="Times New Roman" w:cs="Times New Roman"/>
          <w:kern w:val="2"/>
          <w:lang w:val="en-US" w:eastAsia="zh-CN"/>
        </w:rPr>
        <w:t>属于</w:t>
      </w:r>
      <w:r>
        <w:rPr>
          <w:rFonts w:ascii="Times New Roman" w:hAnsi="Times New Roman" w:cs="Times New Roman"/>
          <w:kern w:val="2"/>
        </w:rPr>
        <w:t>《深圳证券交易所股票上市规则》</w:t>
      </w:r>
      <w:r>
        <w:rPr>
          <w:rFonts w:hint="eastAsia" w:ascii="Times New Roman" w:hAnsi="Times New Roman" w:cs="Times New Roman"/>
          <w:kern w:val="2"/>
        </w:rPr>
        <w:t>第</w:t>
      </w:r>
      <w:r>
        <w:rPr>
          <w:rFonts w:ascii="Times New Roman" w:hAnsi="Times New Roman" w:cs="Times New Roman"/>
          <w:kern w:val="2"/>
        </w:rPr>
        <w:t>6.3.3条第二款第</w:t>
      </w:r>
      <w:r>
        <w:rPr>
          <w:rFonts w:hint="eastAsia" w:ascii="Times New Roman" w:hAnsi="Times New Roman" w:cs="Times New Roman"/>
          <w:kern w:val="2"/>
          <w:lang w:val="en-US" w:eastAsia="zh-CN"/>
        </w:rPr>
        <w:t>二</w:t>
      </w:r>
      <w:r>
        <w:rPr>
          <w:rFonts w:ascii="Times New Roman" w:hAnsi="Times New Roman" w:cs="Times New Roman"/>
          <w:kern w:val="2"/>
        </w:rPr>
        <w:t>项规定的关联关系</w:t>
      </w:r>
      <w:r>
        <w:rPr>
          <w:rFonts w:hint="eastAsia" w:ascii="Times New Roman" w:hAnsi="Times New Roman" w:cs="Times New Roman"/>
          <w:kern w:val="2"/>
          <w:lang w:eastAsia="zh-CN"/>
        </w:rPr>
        <w:t>。</w:t>
      </w:r>
    </w:p>
    <w:p>
      <w:pPr>
        <w:widowControl w:val="0"/>
        <w:adjustRightInd w:val="0"/>
        <w:snapToGrid w:val="0"/>
        <w:spacing w:line="360" w:lineRule="auto"/>
        <w:ind w:firstLine="480" w:firstLineChars="20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3</w:t>
      </w:r>
      <w:r>
        <w:rPr>
          <w:rFonts w:hint="eastAsia" w:ascii="Times New Roman" w:hAnsi="Times New Roman" w:cs="Times New Roman"/>
          <w:kern w:val="2"/>
          <w:lang w:eastAsia="zh-CN"/>
        </w:rPr>
        <w:t>.</w:t>
      </w:r>
      <w:r>
        <w:rPr>
          <w:rFonts w:ascii="Times New Roman" w:hAnsi="Times New Roman" w:cs="Times New Roman"/>
          <w:kern w:val="2"/>
        </w:rPr>
        <w:t>履约能力分析</w:t>
      </w:r>
    </w:p>
    <w:p>
      <w:pPr>
        <w:widowControl w:val="0"/>
        <w:adjustRightInd w:val="0"/>
        <w:snapToGrid w:val="0"/>
        <w:spacing w:line="360" w:lineRule="auto"/>
        <w:ind w:firstLine="480" w:firstLineChars="20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中国广核集团有限公司</w:t>
      </w:r>
      <w:r>
        <w:rPr>
          <w:rFonts w:hint="eastAsia" w:ascii="Times New Roman" w:hAnsi="Times New Roman" w:cs="Times New Roman"/>
          <w:kern w:val="2"/>
          <w:lang w:val="en-US" w:eastAsia="zh-CN"/>
        </w:rPr>
        <w:t>及其</w:t>
      </w:r>
      <w:r>
        <w:rPr>
          <w:rFonts w:hint="eastAsia" w:ascii="Times New Roman" w:hAnsi="Times New Roman" w:cs="Times New Roman"/>
          <w:kern w:val="2"/>
        </w:rPr>
        <w:t>下属子公司</w:t>
      </w:r>
      <w:r>
        <w:rPr>
          <w:rFonts w:ascii="Times New Roman" w:hAnsi="Times New Roman" w:cs="Times New Roman"/>
          <w:kern w:val="2"/>
        </w:rPr>
        <w:t>不是失信主体，财务状况和经营情况均处于良好状态，关联交易执行情况良好，具备相应履约能力，不存在履约风险。</w:t>
      </w:r>
    </w:p>
    <w:p>
      <w:pPr>
        <w:pStyle w:val="21"/>
        <w:adjustRightInd w:val="0"/>
        <w:snapToGrid w:val="0"/>
        <w:spacing w:line="360" w:lineRule="auto"/>
        <w:ind w:firstLine="482"/>
        <w:outlineLvl w:val="0"/>
        <w:rPr>
          <w:b/>
          <w:sz w:val="24"/>
        </w:rPr>
      </w:pPr>
      <w:r>
        <w:rPr>
          <w:b/>
          <w:sz w:val="24"/>
        </w:rPr>
        <w:t>三、关联交易</w:t>
      </w:r>
      <w:r>
        <w:rPr>
          <w:rFonts w:hint="eastAsia"/>
          <w:b/>
          <w:sz w:val="24"/>
        </w:rPr>
        <w:t>主要内容</w:t>
      </w:r>
    </w:p>
    <w:p>
      <w:pPr>
        <w:pStyle w:val="21"/>
        <w:adjustRightInd w:val="0"/>
        <w:snapToGrid w:val="0"/>
        <w:spacing w:line="360" w:lineRule="auto"/>
        <w:ind w:firstLine="482"/>
        <w:outlineLvl w:val="0"/>
        <w:rPr>
          <w:b/>
          <w:sz w:val="24"/>
        </w:rPr>
      </w:pPr>
      <w:r>
        <w:rPr>
          <w:rFonts w:hint="eastAsia"/>
          <w:b/>
          <w:sz w:val="24"/>
        </w:rPr>
        <w:t>（一）关联交易定价政策和定价依据</w:t>
      </w:r>
    </w:p>
    <w:p>
      <w:pPr>
        <w:widowControl w:val="0"/>
        <w:adjustRightInd w:val="0"/>
        <w:snapToGrid w:val="0"/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kern w:val="2"/>
          <w:szCs w:val="20"/>
          <w:lang w:val="en-US" w:eastAsia="zh-CN"/>
        </w:rPr>
      </w:pPr>
      <w:r>
        <w:rPr>
          <w:rFonts w:ascii="Times New Roman" w:hAnsi="Times New Roman" w:cs="Times New Roman"/>
          <w:kern w:val="2"/>
          <w:szCs w:val="20"/>
        </w:rPr>
        <w:t>公司</w:t>
      </w:r>
      <w:r>
        <w:rPr>
          <w:rFonts w:hint="eastAsia" w:ascii="Times New Roman" w:hAnsi="Times New Roman" w:cs="Times New Roman"/>
          <w:kern w:val="2"/>
          <w:szCs w:val="20"/>
        </w:rPr>
        <w:t>向</w:t>
      </w:r>
      <w:r>
        <w:rPr>
          <w:rFonts w:ascii="Times New Roman" w:hAnsi="Times New Roman" w:cs="Times New Roman"/>
          <w:kern w:val="2"/>
        </w:rPr>
        <w:t>中国广核集团有限公司</w:t>
      </w:r>
      <w:r>
        <w:rPr>
          <w:rFonts w:hint="eastAsia" w:ascii="Times New Roman" w:hAnsi="Times New Roman" w:cs="Times New Roman"/>
          <w:kern w:val="2"/>
          <w:lang w:val="en-US" w:eastAsia="zh-CN"/>
        </w:rPr>
        <w:t>及其</w:t>
      </w:r>
      <w:r>
        <w:rPr>
          <w:rFonts w:hint="eastAsia" w:ascii="Times New Roman" w:hAnsi="Times New Roman" w:cs="Times New Roman"/>
          <w:kern w:val="2"/>
        </w:rPr>
        <w:t>下属子公司</w:t>
      </w:r>
      <w:r>
        <w:rPr>
          <w:rFonts w:hint="eastAsia" w:ascii="Times New Roman" w:hAnsi="Times New Roman" w:cs="Times New Roman"/>
          <w:kern w:val="2"/>
          <w:szCs w:val="20"/>
        </w:rPr>
        <w:t>销售产品、商品</w:t>
      </w:r>
      <w:r>
        <w:rPr>
          <w:rFonts w:ascii="Times New Roman" w:hAnsi="Times New Roman" w:cs="Times New Roman"/>
          <w:kern w:val="2"/>
          <w:szCs w:val="20"/>
        </w:rPr>
        <w:t>，</w:t>
      </w:r>
      <w:r>
        <w:rPr>
          <w:rFonts w:hint="eastAsia" w:ascii="Times New Roman" w:hAnsi="Times New Roman" w:cs="Times New Roman"/>
          <w:kern w:val="2"/>
          <w:szCs w:val="20"/>
          <w:lang w:val="en-US" w:eastAsia="zh-CN"/>
        </w:rPr>
        <w:t>主要是核电站建设非标物资智能制造及供应链管理、数字化电气类设备集成业务，交易</w:t>
      </w:r>
      <w:r>
        <w:rPr>
          <w:rFonts w:ascii="Times New Roman" w:hAnsi="Times New Roman" w:cs="Times New Roman"/>
          <w:kern w:val="2"/>
          <w:szCs w:val="20"/>
        </w:rPr>
        <w:t>均遵循公平、公开、公正的市场原则进行，</w:t>
      </w:r>
      <w:r>
        <w:rPr>
          <w:rFonts w:hint="eastAsia" w:ascii="Times New Roman" w:hAnsi="Times New Roman" w:cs="Times New Roman"/>
          <w:kern w:val="2"/>
          <w:szCs w:val="20"/>
          <w:lang w:val="en-US" w:eastAsia="zh-CN"/>
        </w:rPr>
        <w:t>以公开招标价格或市场公允价格为依据，付款周期和方式由双方参照有关交易及正常业务惯例确定。</w:t>
      </w:r>
    </w:p>
    <w:p>
      <w:pPr>
        <w:pStyle w:val="21"/>
        <w:adjustRightInd w:val="0"/>
        <w:snapToGrid w:val="0"/>
        <w:spacing w:line="360" w:lineRule="auto"/>
        <w:ind w:firstLine="482"/>
        <w:outlineLvl w:val="0"/>
        <w:rPr>
          <w:b/>
          <w:sz w:val="24"/>
        </w:rPr>
      </w:pPr>
      <w:r>
        <w:rPr>
          <w:rFonts w:hint="eastAsia"/>
          <w:b/>
          <w:sz w:val="24"/>
        </w:rPr>
        <w:t>（二）关联交易协议签署情况</w:t>
      </w:r>
    </w:p>
    <w:p>
      <w:pPr>
        <w:widowControl w:val="0"/>
        <w:adjustRightInd w:val="0"/>
        <w:snapToGrid w:val="0"/>
        <w:spacing w:line="360" w:lineRule="auto"/>
        <w:ind w:firstLine="480" w:firstLineChars="200"/>
        <w:jc w:val="both"/>
        <w:rPr>
          <w:rFonts w:ascii="Times New Roman" w:hAnsi="Times New Roman" w:cs="Times New Roman"/>
          <w:kern w:val="2"/>
          <w:szCs w:val="20"/>
        </w:rPr>
      </w:pPr>
      <w:r>
        <w:rPr>
          <w:rFonts w:hint="eastAsia" w:ascii="Times New Roman" w:hAnsi="Times New Roman" w:cs="Times New Roman"/>
          <w:kern w:val="2"/>
          <w:szCs w:val="20"/>
        </w:rPr>
        <w:t>公司及子公司与关联方将根据生产经营的实际需求，在本次日常关联交易预计额度范围内签署协议。</w:t>
      </w:r>
    </w:p>
    <w:p>
      <w:pPr>
        <w:pStyle w:val="21"/>
        <w:adjustRightInd w:val="0"/>
        <w:snapToGrid w:val="0"/>
        <w:spacing w:line="360" w:lineRule="auto"/>
        <w:ind w:firstLine="482"/>
        <w:outlineLvl w:val="0"/>
        <w:rPr>
          <w:b/>
        </w:rPr>
      </w:pPr>
      <w:r>
        <w:rPr>
          <w:b/>
          <w:sz w:val="24"/>
        </w:rPr>
        <w:t>四、关联交易目的和对公司的影响</w:t>
      </w:r>
    </w:p>
    <w:p>
      <w:pPr>
        <w:widowControl w:val="0"/>
        <w:adjustRightInd w:val="0"/>
        <w:snapToGrid w:val="0"/>
        <w:spacing w:line="360" w:lineRule="auto"/>
        <w:ind w:firstLine="480" w:firstLineChars="200"/>
        <w:jc w:val="both"/>
        <w:rPr>
          <w:rFonts w:ascii="Times New Roman" w:hAnsi="Times New Roman" w:cs="Times New Roman"/>
          <w:kern w:val="2"/>
          <w:szCs w:val="20"/>
        </w:rPr>
      </w:pPr>
      <w:r>
        <w:rPr>
          <w:rFonts w:hint="eastAsia" w:ascii="Times New Roman" w:hAnsi="Times New Roman" w:cs="Times New Roman"/>
          <w:kern w:val="2"/>
          <w:szCs w:val="20"/>
        </w:rPr>
        <w:t>公司及子公司与关联方开展上述日常关联交易事项，有助于公司日常生产经营的开展。交易以市场价格为定价依据，遵循公平、公正、公开的原则，不会损害公司及股东利益，公司主要业务不会因上述关联交易对关联方形成依赖，不会影响公司独立性。</w:t>
      </w:r>
    </w:p>
    <w:p>
      <w:pPr>
        <w:pStyle w:val="21"/>
        <w:adjustRightInd w:val="0"/>
        <w:snapToGrid w:val="0"/>
        <w:spacing w:line="360" w:lineRule="auto"/>
        <w:ind w:firstLine="482"/>
        <w:outlineLvl w:val="0"/>
        <w:rPr>
          <w:b/>
        </w:rPr>
      </w:pPr>
      <w:r>
        <w:rPr>
          <w:b/>
          <w:sz w:val="24"/>
        </w:rPr>
        <w:t>五、</w:t>
      </w:r>
      <w:r>
        <w:rPr>
          <w:rFonts w:hint="eastAsia"/>
          <w:b/>
          <w:sz w:val="24"/>
        </w:rPr>
        <w:t>独立董事专门会议审议情况</w:t>
      </w:r>
    </w:p>
    <w:p>
      <w:pPr>
        <w:widowControl w:val="0"/>
        <w:adjustRightInd w:val="0"/>
        <w:snapToGrid w:val="0"/>
        <w:spacing w:line="360" w:lineRule="auto"/>
        <w:ind w:firstLine="480" w:firstLineChars="200"/>
        <w:jc w:val="both"/>
      </w:pPr>
      <w:r>
        <w:rPr>
          <w:rFonts w:hint="eastAsia" w:ascii="Times New Roman" w:hAnsi="Times New Roman" w:cs="Times New Roman"/>
          <w:kern w:val="2"/>
          <w:szCs w:val="20"/>
        </w:rPr>
        <w:t>本次董事会召开前，公司召开独立董事专门会议对《关于上调关联交易额度的议案》进行了审议。经认真审核，全体独立董事一致通过该议案，认为：该项交易属于公司的日常经营事项，交易定价公允合理，不会对公司独立性产生影响，不存在损害公司及公司股东特别是中小股东利益的情形，符合公司及股东利益，同意将本次增加日常关联交易预计额度事项提交公司董事</w:t>
      </w:r>
      <w:r>
        <w:rPr>
          <w:rFonts w:hint="eastAsia"/>
        </w:rPr>
        <w:t>会审议。</w:t>
      </w:r>
    </w:p>
    <w:p>
      <w:pPr>
        <w:pStyle w:val="21"/>
        <w:adjustRightInd w:val="0"/>
        <w:snapToGrid w:val="0"/>
        <w:spacing w:line="360" w:lineRule="auto"/>
        <w:ind w:firstLine="482"/>
        <w:outlineLvl w:val="0"/>
        <w:rPr>
          <w:b/>
          <w:sz w:val="24"/>
        </w:rPr>
      </w:pPr>
      <w:r>
        <w:rPr>
          <w:b/>
          <w:sz w:val="24"/>
        </w:rPr>
        <w:t>六、备查文件</w:t>
      </w:r>
    </w:p>
    <w:p>
      <w:pPr>
        <w:widowControl w:val="0"/>
        <w:adjustRightInd w:val="0"/>
        <w:snapToGrid w:val="0"/>
        <w:spacing w:line="360" w:lineRule="auto"/>
        <w:ind w:firstLine="480" w:firstLineChars="200"/>
        <w:jc w:val="both"/>
        <w:rPr>
          <w:rFonts w:ascii="Times New Roman" w:hAnsi="Times New Roman" w:cs="Times New Roman"/>
          <w:kern w:val="2"/>
          <w:szCs w:val="20"/>
        </w:rPr>
      </w:pPr>
      <w:r>
        <w:rPr>
          <w:rFonts w:ascii="Times New Roman" w:hAnsi="Times New Roman" w:cs="Times New Roman"/>
          <w:kern w:val="2"/>
          <w:szCs w:val="20"/>
        </w:rPr>
        <w:t>1</w:t>
      </w:r>
      <w:r>
        <w:rPr>
          <w:rFonts w:hint="eastAsia" w:ascii="Times New Roman" w:hAnsi="Times New Roman" w:cs="Times New Roman"/>
          <w:kern w:val="2"/>
          <w:szCs w:val="20"/>
          <w:lang w:eastAsia="zh-CN"/>
        </w:rPr>
        <w:t>.</w:t>
      </w:r>
      <w:r>
        <w:rPr>
          <w:rFonts w:ascii="Times New Roman" w:hAnsi="Times New Roman" w:cs="Times New Roman"/>
          <w:kern w:val="2"/>
          <w:szCs w:val="20"/>
        </w:rPr>
        <w:t>第十届董事会第</w:t>
      </w:r>
      <w:r>
        <w:rPr>
          <w:rFonts w:hint="eastAsia" w:ascii="Times New Roman" w:hAnsi="Times New Roman" w:cs="Times New Roman"/>
          <w:kern w:val="2"/>
          <w:szCs w:val="20"/>
        </w:rPr>
        <w:t>二十</w:t>
      </w:r>
      <w:r>
        <w:rPr>
          <w:rFonts w:ascii="Times New Roman" w:hAnsi="Times New Roman" w:cs="Times New Roman"/>
          <w:kern w:val="2"/>
          <w:szCs w:val="20"/>
        </w:rPr>
        <w:t>次会议决议；</w:t>
      </w:r>
    </w:p>
    <w:p>
      <w:pPr>
        <w:widowControl w:val="0"/>
        <w:adjustRightInd w:val="0"/>
        <w:snapToGrid w:val="0"/>
        <w:spacing w:line="360" w:lineRule="auto"/>
        <w:ind w:firstLine="480" w:firstLineChars="200"/>
        <w:jc w:val="both"/>
        <w:rPr>
          <w:rFonts w:ascii="Times New Roman" w:hAnsi="Times New Roman" w:cs="Times New Roman"/>
          <w:kern w:val="2"/>
          <w:szCs w:val="20"/>
        </w:rPr>
      </w:pPr>
      <w:r>
        <w:rPr>
          <w:rFonts w:ascii="Times New Roman" w:hAnsi="Times New Roman" w:cs="Times New Roman"/>
          <w:kern w:val="2"/>
          <w:szCs w:val="20"/>
        </w:rPr>
        <w:t>2</w:t>
      </w:r>
      <w:r>
        <w:rPr>
          <w:rFonts w:hint="eastAsia" w:ascii="Times New Roman" w:hAnsi="Times New Roman" w:cs="Times New Roman"/>
          <w:kern w:val="2"/>
          <w:szCs w:val="20"/>
          <w:lang w:eastAsia="zh-CN"/>
        </w:rPr>
        <w:t>.</w:t>
      </w:r>
      <w:r>
        <w:rPr>
          <w:rFonts w:ascii="Times New Roman" w:hAnsi="Times New Roman" w:cs="Times New Roman"/>
        </w:rPr>
        <w:t>独立董事专门会议2024年第</w:t>
      </w:r>
      <w:r>
        <w:rPr>
          <w:rFonts w:hint="eastAsia" w:ascii="Times New Roman" w:hAnsi="Times New Roman" w:cs="Times New Roman"/>
        </w:rPr>
        <w:t>三</w:t>
      </w:r>
      <w:r>
        <w:rPr>
          <w:rFonts w:ascii="Times New Roman" w:hAnsi="Times New Roman" w:cs="Times New Roman"/>
        </w:rPr>
        <w:t>次会议</w:t>
      </w:r>
      <w:r>
        <w:rPr>
          <w:rFonts w:hint="eastAsia" w:ascii="Times New Roman" w:hAnsi="Times New Roman" w:cs="Times New Roman"/>
        </w:rPr>
        <w:t>决议</w:t>
      </w:r>
      <w:r>
        <w:rPr>
          <w:rFonts w:ascii="Times New Roman" w:hAnsi="Times New Roman" w:cs="Times New Roman"/>
          <w:kern w:val="2"/>
          <w:szCs w:val="20"/>
        </w:rPr>
        <w:t>。</w:t>
      </w:r>
    </w:p>
    <w:p>
      <w:pPr>
        <w:widowControl w:val="0"/>
        <w:adjustRightInd w:val="0"/>
        <w:snapToGrid w:val="0"/>
        <w:spacing w:line="360" w:lineRule="auto"/>
        <w:ind w:firstLine="480" w:firstLineChars="20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特此公告。</w:t>
      </w:r>
    </w:p>
    <w:p>
      <w:pPr>
        <w:widowControl w:val="0"/>
        <w:adjustRightInd w:val="0"/>
        <w:snapToGrid w:val="0"/>
        <w:spacing w:line="360" w:lineRule="auto"/>
        <w:ind w:firstLine="480" w:firstLineChars="200"/>
        <w:jc w:val="both"/>
        <w:rPr>
          <w:rFonts w:ascii="Times New Roman" w:hAnsi="Times New Roman" w:cs="Times New Roman"/>
          <w:szCs w:val="20"/>
        </w:rPr>
      </w:pPr>
    </w:p>
    <w:p>
      <w:pPr>
        <w:widowControl w:val="0"/>
        <w:adjustRightInd w:val="0"/>
        <w:snapToGrid w:val="0"/>
        <w:spacing w:line="360" w:lineRule="auto"/>
        <w:ind w:firstLine="480" w:firstLineChars="200"/>
        <w:jc w:val="both"/>
        <w:rPr>
          <w:rFonts w:ascii="Times New Roman" w:hAnsi="Times New Roman" w:cs="Times New Roman"/>
          <w:szCs w:val="20"/>
        </w:rPr>
      </w:pPr>
    </w:p>
    <w:p>
      <w:pPr>
        <w:widowControl w:val="0"/>
        <w:adjustRightInd w:val="0"/>
        <w:snapToGrid w:val="0"/>
        <w:spacing w:line="360" w:lineRule="auto"/>
        <w:ind w:firstLine="480" w:firstLineChars="200"/>
        <w:jc w:val="both"/>
        <w:rPr>
          <w:rFonts w:ascii="Times New Roman" w:hAnsi="Times New Roman" w:cs="Times New Roman"/>
          <w:szCs w:val="20"/>
        </w:rPr>
      </w:pPr>
    </w:p>
    <w:p>
      <w:pPr>
        <w:widowControl w:val="0"/>
        <w:adjustRightInd w:val="0"/>
        <w:snapToGrid w:val="0"/>
        <w:spacing w:line="360" w:lineRule="auto"/>
        <w:ind w:left="480"/>
        <w:jc w:val="right"/>
        <w:rPr>
          <w:rFonts w:ascii="Times New Roman" w:hAnsi="Times New Roman" w:cs="Times New Roman"/>
          <w:b/>
          <w:kern w:val="2"/>
          <w:szCs w:val="20"/>
        </w:rPr>
      </w:pPr>
      <w:r>
        <w:rPr>
          <w:rFonts w:ascii="Times New Roman" w:hAnsi="Times New Roman" w:cs="Times New Roman"/>
          <w:b/>
          <w:kern w:val="2"/>
          <w:szCs w:val="20"/>
        </w:rPr>
        <w:t>中广核核技术发展股份有限公司</w:t>
      </w:r>
    </w:p>
    <w:p>
      <w:pPr>
        <w:widowControl w:val="0"/>
        <w:adjustRightInd w:val="0"/>
        <w:snapToGrid w:val="0"/>
        <w:spacing w:line="360" w:lineRule="auto"/>
        <w:ind w:left="480"/>
        <w:jc w:val="right"/>
        <w:rPr>
          <w:rFonts w:ascii="Times New Roman" w:hAnsi="Times New Roman" w:cs="Times New Roman"/>
          <w:b/>
          <w:kern w:val="2"/>
          <w:szCs w:val="20"/>
        </w:rPr>
      </w:pPr>
      <w:r>
        <w:rPr>
          <w:rFonts w:ascii="Times New Roman" w:hAnsi="Times New Roman" w:cs="Times New Roman"/>
          <w:b/>
          <w:kern w:val="2"/>
          <w:szCs w:val="20"/>
        </w:rPr>
        <w:t>董事会</w:t>
      </w:r>
    </w:p>
    <w:p>
      <w:pPr>
        <w:widowControl w:val="0"/>
        <w:adjustRightInd w:val="0"/>
        <w:snapToGrid w:val="0"/>
        <w:spacing w:line="360" w:lineRule="auto"/>
        <w:ind w:left="480" w:firstLine="48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kern w:val="2"/>
          <w:szCs w:val="20"/>
        </w:rPr>
        <w:t>202</w:t>
      </w:r>
      <w:r>
        <w:rPr>
          <w:rFonts w:hint="eastAsia" w:ascii="Times New Roman" w:hAnsi="Times New Roman" w:cs="Times New Roman"/>
          <w:b/>
          <w:kern w:val="2"/>
          <w:szCs w:val="20"/>
        </w:rPr>
        <w:t>4</w:t>
      </w:r>
      <w:r>
        <w:rPr>
          <w:rFonts w:ascii="Times New Roman" w:hAnsi="Times New Roman" w:cs="Times New Roman"/>
          <w:b/>
          <w:kern w:val="2"/>
          <w:szCs w:val="20"/>
        </w:rPr>
        <w:t>年</w:t>
      </w:r>
      <w:r>
        <w:rPr>
          <w:rFonts w:hint="eastAsia" w:ascii="Times New Roman" w:hAnsi="Times New Roman" w:cs="Times New Roman"/>
          <w:b/>
          <w:kern w:val="2"/>
          <w:szCs w:val="20"/>
        </w:rPr>
        <w:t>10</w:t>
      </w:r>
      <w:r>
        <w:rPr>
          <w:rFonts w:ascii="Times New Roman" w:hAnsi="Times New Roman" w:cs="Times New Roman"/>
          <w:b/>
          <w:kern w:val="2"/>
          <w:szCs w:val="20"/>
        </w:rPr>
        <w:t>月</w:t>
      </w:r>
      <w:r>
        <w:rPr>
          <w:rFonts w:hint="eastAsia" w:ascii="Times New Roman" w:hAnsi="Times New Roman" w:cs="Times New Roman"/>
          <w:b/>
          <w:kern w:val="2"/>
          <w:szCs w:val="20"/>
        </w:rPr>
        <w:t>31</w:t>
      </w:r>
      <w:r>
        <w:rPr>
          <w:rFonts w:ascii="Times New Roman" w:hAnsi="Times New Roman" w:cs="Times New Roman"/>
          <w:b/>
          <w:kern w:val="2"/>
          <w:szCs w:val="20"/>
        </w:rPr>
        <w:t>日</w:t>
      </w:r>
    </w:p>
    <w:sectPr>
      <w:pgSz w:w="11906" w:h="16838"/>
      <w:pgMar w:top="1588" w:right="1588" w:bottom="1588" w:left="158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2F"/>
    <w:rsid w:val="00001C54"/>
    <w:rsid w:val="00014662"/>
    <w:rsid w:val="000308B3"/>
    <w:rsid w:val="00046C5F"/>
    <w:rsid w:val="000549A3"/>
    <w:rsid w:val="000550A0"/>
    <w:rsid w:val="00062B5B"/>
    <w:rsid w:val="00065A9F"/>
    <w:rsid w:val="00067F26"/>
    <w:rsid w:val="000701FD"/>
    <w:rsid w:val="00070261"/>
    <w:rsid w:val="00070D12"/>
    <w:rsid w:val="0007700B"/>
    <w:rsid w:val="0007703F"/>
    <w:rsid w:val="000770C9"/>
    <w:rsid w:val="00081E24"/>
    <w:rsid w:val="00082519"/>
    <w:rsid w:val="000846A5"/>
    <w:rsid w:val="00085A62"/>
    <w:rsid w:val="000867FD"/>
    <w:rsid w:val="00087AE1"/>
    <w:rsid w:val="00092654"/>
    <w:rsid w:val="000935D8"/>
    <w:rsid w:val="0009419A"/>
    <w:rsid w:val="00096C23"/>
    <w:rsid w:val="000A1ABC"/>
    <w:rsid w:val="000A200B"/>
    <w:rsid w:val="000A67F3"/>
    <w:rsid w:val="000A7D4F"/>
    <w:rsid w:val="000B00E5"/>
    <w:rsid w:val="000B0B6A"/>
    <w:rsid w:val="000B0FDB"/>
    <w:rsid w:val="000B1043"/>
    <w:rsid w:val="000B3FF9"/>
    <w:rsid w:val="000B425B"/>
    <w:rsid w:val="000B6483"/>
    <w:rsid w:val="000C00F9"/>
    <w:rsid w:val="000C1187"/>
    <w:rsid w:val="000C13F6"/>
    <w:rsid w:val="000C17F0"/>
    <w:rsid w:val="000C3232"/>
    <w:rsid w:val="000C614A"/>
    <w:rsid w:val="000C6C5E"/>
    <w:rsid w:val="000C7CE1"/>
    <w:rsid w:val="000D405F"/>
    <w:rsid w:val="000D58FC"/>
    <w:rsid w:val="000D67C6"/>
    <w:rsid w:val="000E590A"/>
    <w:rsid w:val="000E5BE1"/>
    <w:rsid w:val="000F0E23"/>
    <w:rsid w:val="000F2C8E"/>
    <w:rsid w:val="000F7462"/>
    <w:rsid w:val="000F7907"/>
    <w:rsid w:val="001009C6"/>
    <w:rsid w:val="00101E29"/>
    <w:rsid w:val="00105056"/>
    <w:rsid w:val="00105570"/>
    <w:rsid w:val="001149DE"/>
    <w:rsid w:val="001231A0"/>
    <w:rsid w:val="001244B2"/>
    <w:rsid w:val="00127BBB"/>
    <w:rsid w:val="00132F78"/>
    <w:rsid w:val="001341AA"/>
    <w:rsid w:val="001347F8"/>
    <w:rsid w:val="001349AD"/>
    <w:rsid w:val="001376E3"/>
    <w:rsid w:val="00137F5D"/>
    <w:rsid w:val="0014294F"/>
    <w:rsid w:val="00143252"/>
    <w:rsid w:val="0014489B"/>
    <w:rsid w:val="00146DCC"/>
    <w:rsid w:val="00152232"/>
    <w:rsid w:val="001620AD"/>
    <w:rsid w:val="001654CF"/>
    <w:rsid w:val="001670B0"/>
    <w:rsid w:val="00172487"/>
    <w:rsid w:val="0017306E"/>
    <w:rsid w:val="00174615"/>
    <w:rsid w:val="00177F17"/>
    <w:rsid w:val="00180320"/>
    <w:rsid w:val="00183FA8"/>
    <w:rsid w:val="00184DBA"/>
    <w:rsid w:val="00192FC5"/>
    <w:rsid w:val="00195EB2"/>
    <w:rsid w:val="00197DB8"/>
    <w:rsid w:val="001A0D3A"/>
    <w:rsid w:val="001A26AE"/>
    <w:rsid w:val="001A5237"/>
    <w:rsid w:val="001A7978"/>
    <w:rsid w:val="001B3D41"/>
    <w:rsid w:val="001B66A1"/>
    <w:rsid w:val="001C6DB2"/>
    <w:rsid w:val="001C7E13"/>
    <w:rsid w:val="001C7E37"/>
    <w:rsid w:val="001D4160"/>
    <w:rsid w:val="001D74A1"/>
    <w:rsid w:val="001E64D7"/>
    <w:rsid w:val="001F16AB"/>
    <w:rsid w:val="001F5965"/>
    <w:rsid w:val="001F68F0"/>
    <w:rsid w:val="0020495D"/>
    <w:rsid w:val="00210BFE"/>
    <w:rsid w:val="002137ED"/>
    <w:rsid w:val="00215333"/>
    <w:rsid w:val="002161C4"/>
    <w:rsid w:val="0022340B"/>
    <w:rsid w:val="0022449F"/>
    <w:rsid w:val="00227DDD"/>
    <w:rsid w:val="0023383B"/>
    <w:rsid w:val="00244DBD"/>
    <w:rsid w:val="00244EA8"/>
    <w:rsid w:val="00256AE7"/>
    <w:rsid w:val="00257A8D"/>
    <w:rsid w:val="00263A0F"/>
    <w:rsid w:val="00265107"/>
    <w:rsid w:val="002734BA"/>
    <w:rsid w:val="00275BD0"/>
    <w:rsid w:val="00277805"/>
    <w:rsid w:val="00280984"/>
    <w:rsid w:val="00281791"/>
    <w:rsid w:val="00282831"/>
    <w:rsid w:val="00292DC8"/>
    <w:rsid w:val="00296220"/>
    <w:rsid w:val="002A0F12"/>
    <w:rsid w:val="002A633A"/>
    <w:rsid w:val="002B060F"/>
    <w:rsid w:val="002B1407"/>
    <w:rsid w:val="002B2D28"/>
    <w:rsid w:val="002B5F86"/>
    <w:rsid w:val="002C0CB4"/>
    <w:rsid w:val="002D110C"/>
    <w:rsid w:val="002D51C4"/>
    <w:rsid w:val="002D6832"/>
    <w:rsid w:val="002E3406"/>
    <w:rsid w:val="002E343D"/>
    <w:rsid w:val="002E5D2E"/>
    <w:rsid w:val="002E77AB"/>
    <w:rsid w:val="002F1B36"/>
    <w:rsid w:val="002F38CB"/>
    <w:rsid w:val="002F705F"/>
    <w:rsid w:val="002F7CF4"/>
    <w:rsid w:val="00300240"/>
    <w:rsid w:val="00310733"/>
    <w:rsid w:val="00315D0D"/>
    <w:rsid w:val="0032112A"/>
    <w:rsid w:val="00323B43"/>
    <w:rsid w:val="00325820"/>
    <w:rsid w:val="00326A8D"/>
    <w:rsid w:val="00327CD3"/>
    <w:rsid w:val="00331E9D"/>
    <w:rsid w:val="0033374F"/>
    <w:rsid w:val="0033543E"/>
    <w:rsid w:val="00335955"/>
    <w:rsid w:val="00337D1B"/>
    <w:rsid w:val="00340A32"/>
    <w:rsid w:val="00351BB1"/>
    <w:rsid w:val="00355182"/>
    <w:rsid w:val="003607D8"/>
    <w:rsid w:val="0036086C"/>
    <w:rsid w:val="00360FE5"/>
    <w:rsid w:val="00361B67"/>
    <w:rsid w:val="0036496D"/>
    <w:rsid w:val="00373F92"/>
    <w:rsid w:val="003800BD"/>
    <w:rsid w:val="00383DEC"/>
    <w:rsid w:val="003928AD"/>
    <w:rsid w:val="003932C4"/>
    <w:rsid w:val="0039372B"/>
    <w:rsid w:val="0039413E"/>
    <w:rsid w:val="00397255"/>
    <w:rsid w:val="003A0E56"/>
    <w:rsid w:val="003A2435"/>
    <w:rsid w:val="003A24FC"/>
    <w:rsid w:val="003A46B7"/>
    <w:rsid w:val="003A5783"/>
    <w:rsid w:val="003B69F2"/>
    <w:rsid w:val="003B746D"/>
    <w:rsid w:val="003C160E"/>
    <w:rsid w:val="003C2B1E"/>
    <w:rsid w:val="003C5545"/>
    <w:rsid w:val="003D0AD5"/>
    <w:rsid w:val="003D37D8"/>
    <w:rsid w:val="003D4A9C"/>
    <w:rsid w:val="003D7EA6"/>
    <w:rsid w:val="003E637E"/>
    <w:rsid w:val="003E7BF3"/>
    <w:rsid w:val="003F4A58"/>
    <w:rsid w:val="003F6101"/>
    <w:rsid w:val="003F66D9"/>
    <w:rsid w:val="004108EB"/>
    <w:rsid w:val="004133C9"/>
    <w:rsid w:val="004137F2"/>
    <w:rsid w:val="004156EC"/>
    <w:rsid w:val="004176E5"/>
    <w:rsid w:val="00417732"/>
    <w:rsid w:val="00424709"/>
    <w:rsid w:val="00431224"/>
    <w:rsid w:val="00433DA7"/>
    <w:rsid w:val="004351DA"/>
    <w:rsid w:val="004358AB"/>
    <w:rsid w:val="00436010"/>
    <w:rsid w:val="00440ECF"/>
    <w:rsid w:val="00443706"/>
    <w:rsid w:val="0044550B"/>
    <w:rsid w:val="00453AE3"/>
    <w:rsid w:val="004543B0"/>
    <w:rsid w:val="004656F1"/>
    <w:rsid w:val="00466C5D"/>
    <w:rsid w:val="00467F57"/>
    <w:rsid w:val="0047366E"/>
    <w:rsid w:val="00474245"/>
    <w:rsid w:val="004743CB"/>
    <w:rsid w:val="00475534"/>
    <w:rsid w:val="004777EC"/>
    <w:rsid w:val="00477C8D"/>
    <w:rsid w:val="00481E79"/>
    <w:rsid w:val="00485E0D"/>
    <w:rsid w:val="0048713F"/>
    <w:rsid w:val="004872E4"/>
    <w:rsid w:val="00487C53"/>
    <w:rsid w:val="004903F6"/>
    <w:rsid w:val="00491C78"/>
    <w:rsid w:val="004946B9"/>
    <w:rsid w:val="004A02CE"/>
    <w:rsid w:val="004A0329"/>
    <w:rsid w:val="004A6E17"/>
    <w:rsid w:val="004A78A6"/>
    <w:rsid w:val="004B3CB3"/>
    <w:rsid w:val="004C1B7E"/>
    <w:rsid w:val="004C30F3"/>
    <w:rsid w:val="004D2057"/>
    <w:rsid w:val="004D251B"/>
    <w:rsid w:val="004D384C"/>
    <w:rsid w:val="004D4BEC"/>
    <w:rsid w:val="004D5D2F"/>
    <w:rsid w:val="004E4BA6"/>
    <w:rsid w:val="004F10F4"/>
    <w:rsid w:val="00502B83"/>
    <w:rsid w:val="00507794"/>
    <w:rsid w:val="00510D12"/>
    <w:rsid w:val="00517347"/>
    <w:rsid w:val="00524254"/>
    <w:rsid w:val="00524E1F"/>
    <w:rsid w:val="005251E0"/>
    <w:rsid w:val="00534EAA"/>
    <w:rsid w:val="00534F5E"/>
    <w:rsid w:val="0053668B"/>
    <w:rsid w:val="00536A13"/>
    <w:rsid w:val="0054325A"/>
    <w:rsid w:val="00543D4A"/>
    <w:rsid w:val="00552FC2"/>
    <w:rsid w:val="00553CEC"/>
    <w:rsid w:val="00554C28"/>
    <w:rsid w:val="00557C05"/>
    <w:rsid w:val="00557C7E"/>
    <w:rsid w:val="005619E6"/>
    <w:rsid w:val="00561D35"/>
    <w:rsid w:val="00562E2C"/>
    <w:rsid w:val="005638E7"/>
    <w:rsid w:val="00563C07"/>
    <w:rsid w:val="00564ECA"/>
    <w:rsid w:val="00566C53"/>
    <w:rsid w:val="0057734D"/>
    <w:rsid w:val="00577CCA"/>
    <w:rsid w:val="00581E04"/>
    <w:rsid w:val="00591498"/>
    <w:rsid w:val="0059352F"/>
    <w:rsid w:val="00593BCC"/>
    <w:rsid w:val="005A0298"/>
    <w:rsid w:val="005A2F29"/>
    <w:rsid w:val="005A33E2"/>
    <w:rsid w:val="005A3D96"/>
    <w:rsid w:val="005A5CFF"/>
    <w:rsid w:val="005A6223"/>
    <w:rsid w:val="005A76E1"/>
    <w:rsid w:val="005B1753"/>
    <w:rsid w:val="005B1829"/>
    <w:rsid w:val="005B2EB4"/>
    <w:rsid w:val="005B4484"/>
    <w:rsid w:val="005C024D"/>
    <w:rsid w:val="005C098B"/>
    <w:rsid w:val="005C1049"/>
    <w:rsid w:val="005C1565"/>
    <w:rsid w:val="005C2381"/>
    <w:rsid w:val="005C24F5"/>
    <w:rsid w:val="005C2BD2"/>
    <w:rsid w:val="005C4618"/>
    <w:rsid w:val="005C5674"/>
    <w:rsid w:val="005C6BAB"/>
    <w:rsid w:val="005D0CB3"/>
    <w:rsid w:val="005D2A0E"/>
    <w:rsid w:val="005D5A86"/>
    <w:rsid w:val="005E0142"/>
    <w:rsid w:val="005E0BAB"/>
    <w:rsid w:val="005E1321"/>
    <w:rsid w:val="005E3BBB"/>
    <w:rsid w:val="005F72F3"/>
    <w:rsid w:val="00601760"/>
    <w:rsid w:val="00602B47"/>
    <w:rsid w:val="00605316"/>
    <w:rsid w:val="00607A7E"/>
    <w:rsid w:val="00612A94"/>
    <w:rsid w:val="00615E31"/>
    <w:rsid w:val="00616699"/>
    <w:rsid w:val="00617CCE"/>
    <w:rsid w:val="006217A8"/>
    <w:rsid w:val="00621851"/>
    <w:rsid w:val="0062312F"/>
    <w:rsid w:val="00624324"/>
    <w:rsid w:val="006243A2"/>
    <w:rsid w:val="00627F0D"/>
    <w:rsid w:val="0063234A"/>
    <w:rsid w:val="00635630"/>
    <w:rsid w:val="006427EC"/>
    <w:rsid w:val="00646F2D"/>
    <w:rsid w:val="00647588"/>
    <w:rsid w:val="006507B4"/>
    <w:rsid w:val="00652DF2"/>
    <w:rsid w:val="006537A1"/>
    <w:rsid w:val="006545E7"/>
    <w:rsid w:val="006623BD"/>
    <w:rsid w:val="006624EB"/>
    <w:rsid w:val="00663002"/>
    <w:rsid w:val="00664061"/>
    <w:rsid w:val="006643A1"/>
    <w:rsid w:val="006647BE"/>
    <w:rsid w:val="006652D5"/>
    <w:rsid w:val="0067086D"/>
    <w:rsid w:val="00671584"/>
    <w:rsid w:val="00680531"/>
    <w:rsid w:val="00682E5F"/>
    <w:rsid w:val="00683EA0"/>
    <w:rsid w:val="00683FE3"/>
    <w:rsid w:val="00684DBE"/>
    <w:rsid w:val="00694437"/>
    <w:rsid w:val="00694898"/>
    <w:rsid w:val="006B0113"/>
    <w:rsid w:val="006B3033"/>
    <w:rsid w:val="006B384E"/>
    <w:rsid w:val="006B4766"/>
    <w:rsid w:val="006B6BA4"/>
    <w:rsid w:val="006C5B89"/>
    <w:rsid w:val="006E1E1D"/>
    <w:rsid w:val="006E2202"/>
    <w:rsid w:val="006E2F34"/>
    <w:rsid w:val="006F13B8"/>
    <w:rsid w:val="006F2782"/>
    <w:rsid w:val="006F27C2"/>
    <w:rsid w:val="006F43CC"/>
    <w:rsid w:val="006F683C"/>
    <w:rsid w:val="00706EA3"/>
    <w:rsid w:val="00711288"/>
    <w:rsid w:val="00713048"/>
    <w:rsid w:val="007137D3"/>
    <w:rsid w:val="0071473E"/>
    <w:rsid w:val="00717289"/>
    <w:rsid w:val="0072085F"/>
    <w:rsid w:val="00722F8D"/>
    <w:rsid w:val="007303FF"/>
    <w:rsid w:val="00730F3B"/>
    <w:rsid w:val="007311D7"/>
    <w:rsid w:val="00731AB1"/>
    <w:rsid w:val="00735A5D"/>
    <w:rsid w:val="00740040"/>
    <w:rsid w:val="00740795"/>
    <w:rsid w:val="00740AD2"/>
    <w:rsid w:val="0074284F"/>
    <w:rsid w:val="00742C84"/>
    <w:rsid w:val="00745493"/>
    <w:rsid w:val="007469FA"/>
    <w:rsid w:val="0074799A"/>
    <w:rsid w:val="0075125C"/>
    <w:rsid w:val="007525E0"/>
    <w:rsid w:val="00753A3E"/>
    <w:rsid w:val="00755703"/>
    <w:rsid w:val="00766808"/>
    <w:rsid w:val="00781FB3"/>
    <w:rsid w:val="007844F2"/>
    <w:rsid w:val="00790100"/>
    <w:rsid w:val="00797EB9"/>
    <w:rsid w:val="007A11AB"/>
    <w:rsid w:val="007A236A"/>
    <w:rsid w:val="007A4F8D"/>
    <w:rsid w:val="007A72F4"/>
    <w:rsid w:val="007B145A"/>
    <w:rsid w:val="007C1BAF"/>
    <w:rsid w:val="007C7574"/>
    <w:rsid w:val="007D0FEB"/>
    <w:rsid w:val="007D7772"/>
    <w:rsid w:val="007E080B"/>
    <w:rsid w:val="007E0CE5"/>
    <w:rsid w:val="007E0D69"/>
    <w:rsid w:val="007E1C02"/>
    <w:rsid w:val="007E1F63"/>
    <w:rsid w:val="007E3E4F"/>
    <w:rsid w:val="007E465F"/>
    <w:rsid w:val="007E4DD2"/>
    <w:rsid w:val="007E5316"/>
    <w:rsid w:val="007E5FE3"/>
    <w:rsid w:val="007E7C0B"/>
    <w:rsid w:val="007F2778"/>
    <w:rsid w:val="007F5767"/>
    <w:rsid w:val="007F583E"/>
    <w:rsid w:val="007F59C4"/>
    <w:rsid w:val="0080573F"/>
    <w:rsid w:val="008129D4"/>
    <w:rsid w:val="008133B6"/>
    <w:rsid w:val="00816867"/>
    <w:rsid w:val="008240F3"/>
    <w:rsid w:val="00831F7E"/>
    <w:rsid w:val="00833FF0"/>
    <w:rsid w:val="00836182"/>
    <w:rsid w:val="0083698A"/>
    <w:rsid w:val="0084082C"/>
    <w:rsid w:val="00842202"/>
    <w:rsid w:val="00846498"/>
    <w:rsid w:val="008465F1"/>
    <w:rsid w:val="00846870"/>
    <w:rsid w:val="008511E2"/>
    <w:rsid w:val="00852E2D"/>
    <w:rsid w:val="00860919"/>
    <w:rsid w:val="008620AF"/>
    <w:rsid w:val="008624A4"/>
    <w:rsid w:val="008641D6"/>
    <w:rsid w:val="00864677"/>
    <w:rsid w:val="008652F0"/>
    <w:rsid w:val="00867490"/>
    <w:rsid w:val="00875ACE"/>
    <w:rsid w:val="00876AA3"/>
    <w:rsid w:val="00877386"/>
    <w:rsid w:val="00880740"/>
    <w:rsid w:val="008807AC"/>
    <w:rsid w:val="00884273"/>
    <w:rsid w:val="00886A44"/>
    <w:rsid w:val="00891A35"/>
    <w:rsid w:val="00895049"/>
    <w:rsid w:val="008950F3"/>
    <w:rsid w:val="008954DA"/>
    <w:rsid w:val="00896021"/>
    <w:rsid w:val="00896082"/>
    <w:rsid w:val="008A2131"/>
    <w:rsid w:val="008A26F2"/>
    <w:rsid w:val="008A57A3"/>
    <w:rsid w:val="008A697C"/>
    <w:rsid w:val="008B2BC7"/>
    <w:rsid w:val="008B4C87"/>
    <w:rsid w:val="008B4FBA"/>
    <w:rsid w:val="008B6A68"/>
    <w:rsid w:val="008B7012"/>
    <w:rsid w:val="008B7726"/>
    <w:rsid w:val="008C72BB"/>
    <w:rsid w:val="008D0AA3"/>
    <w:rsid w:val="008D0B7A"/>
    <w:rsid w:val="008E0668"/>
    <w:rsid w:val="008E2F3C"/>
    <w:rsid w:val="008E44F1"/>
    <w:rsid w:val="008E662C"/>
    <w:rsid w:val="008E66DF"/>
    <w:rsid w:val="008E6D9E"/>
    <w:rsid w:val="009012C0"/>
    <w:rsid w:val="0090657C"/>
    <w:rsid w:val="00912BB5"/>
    <w:rsid w:val="00913D7B"/>
    <w:rsid w:val="00921ED3"/>
    <w:rsid w:val="00933C2A"/>
    <w:rsid w:val="00937998"/>
    <w:rsid w:val="00941C15"/>
    <w:rsid w:val="009435E6"/>
    <w:rsid w:val="009440C6"/>
    <w:rsid w:val="00947B88"/>
    <w:rsid w:val="00952987"/>
    <w:rsid w:val="00953778"/>
    <w:rsid w:val="00953BAB"/>
    <w:rsid w:val="00964575"/>
    <w:rsid w:val="009651AE"/>
    <w:rsid w:val="00967C62"/>
    <w:rsid w:val="00975381"/>
    <w:rsid w:val="00980BBB"/>
    <w:rsid w:val="009842B5"/>
    <w:rsid w:val="00985C65"/>
    <w:rsid w:val="00990668"/>
    <w:rsid w:val="00990761"/>
    <w:rsid w:val="0099387D"/>
    <w:rsid w:val="00993C6B"/>
    <w:rsid w:val="009B2D38"/>
    <w:rsid w:val="009B68DA"/>
    <w:rsid w:val="009B7E1D"/>
    <w:rsid w:val="009C0879"/>
    <w:rsid w:val="009D0E95"/>
    <w:rsid w:val="009D29FC"/>
    <w:rsid w:val="009D2B6B"/>
    <w:rsid w:val="009E2000"/>
    <w:rsid w:val="009E5AF5"/>
    <w:rsid w:val="009E62A2"/>
    <w:rsid w:val="009E781A"/>
    <w:rsid w:val="009F0139"/>
    <w:rsid w:val="009F13D4"/>
    <w:rsid w:val="009F1B84"/>
    <w:rsid w:val="009F1F62"/>
    <w:rsid w:val="009F4C4B"/>
    <w:rsid w:val="009F5D72"/>
    <w:rsid w:val="00A0087D"/>
    <w:rsid w:val="00A02DFF"/>
    <w:rsid w:val="00A0496A"/>
    <w:rsid w:val="00A14EB9"/>
    <w:rsid w:val="00A223A4"/>
    <w:rsid w:val="00A2407E"/>
    <w:rsid w:val="00A2460D"/>
    <w:rsid w:val="00A24880"/>
    <w:rsid w:val="00A31959"/>
    <w:rsid w:val="00A348D2"/>
    <w:rsid w:val="00A35E71"/>
    <w:rsid w:val="00A3648D"/>
    <w:rsid w:val="00A36682"/>
    <w:rsid w:val="00A408D7"/>
    <w:rsid w:val="00A4251A"/>
    <w:rsid w:val="00A460D8"/>
    <w:rsid w:val="00A50B89"/>
    <w:rsid w:val="00A52B7A"/>
    <w:rsid w:val="00A65175"/>
    <w:rsid w:val="00A6773A"/>
    <w:rsid w:val="00A73C6A"/>
    <w:rsid w:val="00A8001B"/>
    <w:rsid w:val="00A82E00"/>
    <w:rsid w:val="00A83370"/>
    <w:rsid w:val="00A85C16"/>
    <w:rsid w:val="00AA01D2"/>
    <w:rsid w:val="00AA076B"/>
    <w:rsid w:val="00AA3306"/>
    <w:rsid w:val="00AA410A"/>
    <w:rsid w:val="00AA5DE9"/>
    <w:rsid w:val="00AA7040"/>
    <w:rsid w:val="00AA7EC7"/>
    <w:rsid w:val="00AC0402"/>
    <w:rsid w:val="00AC087B"/>
    <w:rsid w:val="00AC5484"/>
    <w:rsid w:val="00AC5CBC"/>
    <w:rsid w:val="00AD4624"/>
    <w:rsid w:val="00AD5866"/>
    <w:rsid w:val="00AE0141"/>
    <w:rsid w:val="00AE1ECD"/>
    <w:rsid w:val="00AE20EF"/>
    <w:rsid w:val="00AE449C"/>
    <w:rsid w:val="00AE4F7B"/>
    <w:rsid w:val="00AF0A59"/>
    <w:rsid w:val="00AF0F8E"/>
    <w:rsid w:val="00AF57BC"/>
    <w:rsid w:val="00AF7C34"/>
    <w:rsid w:val="00B03292"/>
    <w:rsid w:val="00B16711"/>
    <w:rsid w:val="00B27C7D"/>
    <w:rsid w:val="00B3146B"/>
    <w:rsid w:val="00B334CF"/>
    <w:rsid w:val="00B34D45"/>
    <w:rsid w:val="00B34F92"/>
    <w:rsid w:val="00B367D2"/>
    <w:rsid w:val="00B41568"/>
    <w:rsid w:val="00B41F30"/>
    <w:rsid w:val="00B42160"/>
    <w:rsid w:val="00B42413"/>
    <w:rsid w:val="00B439F1"/>
    <w:rsid w:val="00B44079"/>
    <w:rsid w:val="00B45F37"/>
    <w:rsid w:val="00B510FC"/>
    <w:rsid w:val="00B56529"/>
    <w:rsid w:val="00B56620"/>
    <w:rsid w:val="00B568E1"/>
    <w:rsid w:val="00B5761C"/>
    <w:rsid w:val="00B61F33"/>
    <w:rsid w:val="00B67B0B"/>
    <w:rsid w:val="00B70B11"/>
    <w:rsid w:val="00B70E1A"/>
    <w:rsid w:val="00B76330"/>
    <w:rsid w:val="00B768D8"/>
    <w:rsid w:val="00B7776C"/>
    <w:rsid w:val="00B82CE9"/>
    <w:rsid w:val="00B92C15"/>
    <w:rsid w:val="00B9646C"/>
    <w:rsid w:val="00B9793E"/>
    <w:rsid w:val="00BA09D3"/>
    <w:rsid w:val="00BA0A13"/>
    <w:rsid w:val="00BA1269"/>
    <w:rsid w:val="00BA1EE5"/>
    <w:rsid w:val="00BA58F3"/>
    <w:rsid w:val="00BA71EB"/>
    <w:rsid w:val="00BB3834"/>
    <w:rsid w:val="00BB3E21"/>
    <w:rsid w:val="00BB4589"/>
    <w:rsid w:val="00BB5E69"/>
    <w:rsid w:val="00BB616F"/>
    <w:rsid w:val="00BB77DB"/>
    <w:rsid w:val="00BC41CA"/>
    <w:rsid w:val="00BC51D6"/>
    <w:rsid w:val="00BC6F98"/>
    <w:rsid w:val="00BC7CC8"/>
    <w:rsid w:val="00BC7F68"/>
    <w:rsid w:val="00BD3654"/>
    <w:rsid w:val="00BE583F"/>
    <w:rsid w:val="00BE6CEB"/>
    <w:rsid w:val="00BE6F43"/>
    <w:rsid w:val="00BF2A22"/>
    <w:rsid w:val="00BF39B4"/>
    <w:rsid w:val="00C00239"/>
    <w:rsid w:val="00C05246"/>
    <w:rsid w:val="00C07391"/>
    <w:rsid w:val="00C11C07"/>
    <w:rsid w:val="00C1389A"/>
    <w:rsid w:val="00C16BC8"/>
    <w:rsid w:val="00C16FE2"/>
    <w:rsid w:val="00C23FC4"/>
    <w:rsid w:val="00C25D29"/>
    <w:rsid w:val="00C26481"/>
    <w:rsid w:val="00C30875"/>
    <w:rsid w:val="00C316E6"/>
    <w:rsid w:val="00C4369C"/>
    <w:rsid w:val="00C44A14"/>
    <w:rsid w:val="00C44AD3"/>
    <w:rsid w:val="00C5008F"/>
    <w:rsid w:val="00C53C82"/>
    <w:rsid w:val="00C57460"/>
    <w:rsid w:val="00C6542D"/>
    <w:rsid w:val="00C65642"/>
    <w:rsid w:val="00C6565E"/>
    <w:rsid w:val="00C6766E"/>
    <w:rsid w:val="00C73CB2"/>
    <w:rsid w:val="00C74826"/>
    <w:rsid w:val="00C74835"/>
    <w:rsid w:val="00C75630"/>
    <w:rsid w:val="00C777BE"/>
    <w:rsid w:val="00C90B5E"/>
    <w:rsid w:val="00C94339"/>
    <w:rsid w:val="00C946F4"/>
    <w:rsid w:val="00CB396C"/>
    <w:rsid w:val="00CB558C"/>
    <w:rsid w:val="00CB6817"/>
    <w:rsid w:val="00CB7B0A"/>
    <w:rsid w:val="00CB7B9E"/>
    <w:rsid w:val="00CC0A53"/>
    <w:rsid w:val="00CC18D5"/>
    <w:rsid w:val="00CC7458"/>
    <w:rsid w:val="00CD04F7"/>
    <w:rsid w:val="00CD1D27"/>
    <w:rsid w:val="00CD28D3"/>
    <w:rsid w:val="00CD2B7D"/>
    <w:rsid w:val="00CD4AA0"/>
    <w:rsid w:val="00CE057F"/>
    <w:rsid w:val="00CE10FC"/>
    <w:rsid w:val="00CE4148"/>
    <w:rsid w:val="00CF2929"/>
    <w:rsid w:val="00CF3BC6"/>
    <w:rsid w:val="00CF3F53"/>
    <w:rsid w:val="00CF6E3C"/>
    <w:rsid w:val="00CF7FEC"/>
    <w:rsid w:val="00D00317"/>
    <w:rsid w:val="00D05CF4"/>
    <w:rsid w:val="00D05F44"/>
    <w:rsid w:val="00D06953"/>
    <w:rsid w:val="00D15062"/>
    <w:rsid w:val="00D21EE7"/>
    <w:rsid w:val="00D23A45"/>
    <w:rsid w:val="00D25D3E"/>
    <w:rsid w:val="00D27F26"/>
    <w:rsid w:val="00D41D69"/>
    <w:rsid w:val="00D42DAA"/>
    <w:rsid w:val="00D44CF3"/>
    <w:rsid w:val="00D45B66"/>
    <w:rsid w:val="00D46174"/>
    <w:rsid w:val="00D47F6F"/>
    <w:rsid w:val="00D56E7B"/>
    <w:rsid w:val="00D65E16"/>
    <w:rsid w:val="00D664B6"/>
    <w:rsid w:val="00D66DED"/>
    <w:rsid w:val="00D67ECE"/>
    <w:rsid w:val="00D71469"/>
    <w:rsid w:val="00D72329"/>
    <w:rsid w:val="00D7623F"/>
    <w:rsid w:val="00D813A2"/>
    <w:rsid w:val="00D85B57"/>
    <w:rsid w:val="00D85F27"/>
    <w:rsid w:val="00D86DEA"/>
    <w:rsid w:val="00D9376F"/>
    <w:rsid w:val="00DA1FDD"/>
    <w:rsid w:val="00DA4492"/>
    <w:rsid w:val="00DA4623"/>
    <w:rsid w:val="00DA7DE8"/>
    <w:rsid w:val="00DB079A"/>
    <w:rsid w:val="00DB5E23"/>
    <w:rsid w:val="00DD1CA1"/>
    <w:rsid w:val="00DD4701"/>
    <w:rsid w:val="00DD5A1A"/>
    <w:rsid w:val="00DD7678"/>
    <w:rsid w:val="00DD7982"/>
    <w:rsid w:val="00DE5BC7"/>
    <w:rsid w:val="00DF05CE"/>
    <w:rsid w:val="00DF4A12"/>
    <w:rsid w:val="00DF591B"/>
    <w:rsid w:val="00DF6446"/>
    <w:rsid w:val="00E02F70"/>
    <w:rsid w:val="00E17C04"/>
    <w:rsid w:val="00E20607"/>
    <w:rsid w:val="00E20DD0"/>
    <w:rsid w:val="00E210B9"/>
    <w:rsid w:val="00E21C36"/>
    <w:rsid w:val="00E224EF"/>
    <w:rsid w:val="00E22504"/>
    <w:rsid w:val="00E233AA"/>
    <w:rsid w:val="00E247FC"/>
    <w:rsid w:val="00E24B69"/>
    <w:rsid w:val="00E30942"/>
    <w:rsid w:val="00E30A2B"/>
    <w:rsid w:val="00E31B52"/>
    <w:rsid w:val="00E327FA"/>
    <w:rsid w:val="00E35295"/>
    <w:rsid w:val="00E376D7"/>
    <w:rsid w:val="00E50BE1"/>
    <w:rsid w:val="00E53FDF"/>
    <w:rsid w:val="00E54A55"/>
    <w:rsid w:val="00E65BA6"/>
    <w:rsid w:val="00E66467"/>
    <w:rsid w:val="00E665EF"/>
    <w:rsid w:val="00E739CA"/>
    <w:rsid w:val="00E81992"/>
    <w:rsid w:val="00E84253"/>
    <w:rsid w:val="00E84273"/>
    <w:rsid w:val="00E84862"/>
    <w:rsid w:val="00E85487"/>
    <w:rsid w:val="00E916C6"/>
    <w:rsid w:val="00E91B9B"/>
    <w:rsid w:val="00E92B96"/>
    <w:rsid w:val="00E93681"/>
    <w:rsid w:val="00E94517"/>
    <w:rsid w:val="00EA0BA1"/>
    <w:rsid w:val="00EA1B14"/>
    <w:rsid w:val="00EA1DD2"/>
    <w:rsid w:val="00EA2BE0"/>
    <w:rsid w:val="00EA3F19"/>
    <w:rsid w:val="00EA68B9"/>
    <w:rsid w:val="00EA7341"/>
    <w:rsid w:val="00EB3437"/>
    <w:rsid w:val="00EC1CCF"/>
    <w:rsid w:val="00EC627A"/>
    <w:rsid w:val="00EC7439"/>
    <w:rsid w:val="00ED7019"/>
    <w:rsid w:val="00EE525A"/>
    <w:rsid w:val="00EE5AD5"/>
    <w:rsid w:val="00EE61CD"/>
    <w:rsid w:val="00EF1309"/>
    <w:rsid w:val="00EF2407"/>
    <w:rsid w:val="00EF300F"/>
    <w:rsid w:val="00F02069"/>
    <w:rsid w:val="00F050F3"/>
    <w:rsid w:val="00F148BC"/>
    <w:rsid w:val="00F15BC6"/>
    <w:rsid w:val="00F226C4"/>
    <w:rsid w:val="00F2325D"/>
    <w:rsid w:val="00F255DB"/>
    <w:rsid w:val="00F2613E"/>
    <w:rsid w:val="00F271DF"/>
    <w:rsid w:val="00F31539"/>
    <w:rsid w:val="00F34493"/>
    <w:rsid w:val="00F3635D"/>
    <w:rsid w:val="00F44605"/>
    <w:rsid w:val="00F53FAF"/>
    <w:rsid w:val="00F62D17"/>
    <w:rsid w:val="00F64B17"/>
    <w:rsid w:val="00F67C8D"/>
    <w:rsid w:val="00F75BBC"/>
    <w:rsid w:val="00F767AD"/>
    <w:rsid w:val="00F80C30"/>
    <w:rsid w:val="00F821E3"/>
    <w:rsid w:val="00F8340D"/>
    <w:rsid w:val="00F85950"/>
    <w:rsid w:val="00F908BC"/>
    <w:rsid w:val="00F94ADB"/>
    <w:rsid w:val="00F975A1"/>
    <w:rsid w:val="00F97AF2"/>
    <w:rsid w:val="00FA36DC"/>
    <w:rsid w:val="00FB0BCF"/>
    <w:rsid w:val="00FB402A"/>
    <w:rsid w:val="00FB44B4"/>
    <w:rsid w:val="00FB7771"/>
    <w:rsid w:val="00FB7922"/>
    <w:rsid w:val="00FC0607"/>
    <w:rsid w:val="00FC315A"/>
    <w:rsid w:val="00FC3477"/>
    <w:rsid w:val="00FC4D0A"/>
    <w:rsid w:val="00FC74AD"/>
    <w:rsid w:val="00FD0D0C"/>
    <w:rsid w:val="00FD1C41"/>
    <w:rsid w:val="00FD2B5B"/>
    <w:rsid w:val="00FD33EC"/>
    <w:rsid w:val="00FD6612"/>
    <w:rsid w:val="00FE1913"/>
    <w:rsid w:val="00FE460C"/>
    <w:rsid w:val="00FE4AD1"/>
    <w:rsid w:val="00FF248E"/>
    <w:rsid w:val="00FF40F4"/>
    <w:rsid w:val="00FF433C"/>
    <w:rsid w:val="00FF61C7"/>
    <w:rsid w:val="00FF653D"/>
    <w:rsid w:val="01AD16F9"/>
    <w:rsid w:val="01B71BD4"/>
    <w:rsid w:val="01DD31A9"/>
    <w:rsid w:val="024822BA"/>
    <w:rsid w:val="02DB6FF9"/>
    <w:rsid w:val="03280CE6"/>
    <w:rsid w:val="033C3023"/>
    <w:rsid w:val="03C85BD8"/>
    <w:rsid w:val="052A494C"/>
    <w:rsid w:val="05F718B0"/>
    <w:rsid w:val="06264EBB"/>
    <w:rsid w:val="0660296D"/>
    <w:rsid w:val="066C303A"/>
    <w:rsid w:val="075B4617"/>
    <w:rsid w:val="084B19E6"/>
    <w:rsid w:val="08FA014C"/>
    <w:rsid w:val="091664FD"/>
    <w:rsid w:val="096B1D41"/>
    <w:rsid w:val="09802C8B"/>
    <w:rsid w:val="099567FC"/>
    <w:rsid w:val="09D8796C"/>
    <w:rsid w:val="09E611AC"/>
    <w:rsid w:val="0A487660"/>
    <w:rsid w:val="0AEF5816"/>
    <w:rsid w:val="0B9343C9"/>
    <w:rsid w:val="0C006A4F"/>
    <w:rsid w:val="0C5E2573"/>
    <w:rsid w:val="0C64355F"/>
    <w:rsid w:val="0D164D9E"/>
    <w:rsid w:val="0DA16FCC"/>
    <w:rsid w:val="0DF54F81"/>
    <w:rsid w:val="0E956346"/>
    <w:rsid w:val="0F2A036A"/>
    <w:rsid w:val="10442345"/>
    <w:rsid w:val="111939FD"/>
    <w:rsid w:val="112F7D2D"/>
    <w:rsid w:val="11772F45"/>
    <w:rsid w:val="117B003F"/>
    <w:rsid w:val="12966F6C"/>
    <w:rsid w:val="12E00CB0"/>
    <w:rsid w:val="132F2BCE"/>
    <w:rsid w:val="137A6453"/>
    <w:rsid w:val="13DB20E1"/>
    <w:rsid w:val="14AE1901"/>
    <w:rsid w:val="15C84EDF"/>
    <w:rsid w:val="16A82745"/>
    <w:rsid w:val="179B0556"/>
    <w:rsid w:val="17B16514"/>
    <w:rsid w:val="180B3FDB"/>
    <w:rsid w:val="19BF3005"/>
    <w:rsid w:val="1AB54D11"/>
    <w:rsid w:val="1AC36298"/>
    <w:rsid w:val="1AE82AA2"/>
    <w:rsid w:val="1B5F22B5"/>
    <w:rsid w:val="1B751E56"/>
    <w:rsid w:val="1B805C9A"/>
    <w:rsid w:val="1B9B4C1E"/>
    <w:rsid w:val="1C9E2899"/>
    <w:rsid w:val="1D040379"/>
    <w:rsid w:val="1E643936"/>
    <w:rsid w:val="1F35423E"/>
    <w:rsid w:val="1F3E4D3F"/>
    <w:rsid w:val="1F3F7DF3"/>
    <w:rsid w:val="1F4A15BA"/>
    <w:rsid w:val="1F730268"/>
    <w:rsid w:val="20EE4BE8"/>
    <w:rsid w:val="216D0714"/>
    <w:rsid w:val="232C00FD"/>
    <w:rsid w:val="23317384"/>
    <w:rsid w:val="235F249E"/>
    <w:rsid w:val="241C6EB4"/>
    <w:rsid w:val="242E4FFD"/>
    <w:rsid w:val="24474EE9"/>
    <w:rsid w:val="24B311A3"/>
    <w:rsid w:val="25A51D5E"/>
    <w:rsid w:val="25BC4336"/>
    <w:rsid w:val="25C912FE"/>
    <w:rsid w:val="269A53D3"/>
    <w:rsid w:val="26E1039F"/>
    <w:rsid w:val="27DD0604"/>
    <w:rsid w:val="27E26020"/>
    <w:rsid w:val="28D33956"/>
    <w:rsid w:val="290D5FB3"/>
    <w:rsid w:val="298E6C66"/>
    <w:rsid w:val="2A9E1AF0"/>
    <w:rsid w:val="2B3D34F7"/>
    <w:rsid w:val="2D1D0FFE"/>
    <w:rsid w:val="2EC57195"/>
    <w:rsid w:val="304660EE"/>
    <w:rsid w:val="30744947"/>
    <w:rsid w:val="30AE4E06"/>
    <w:rsid w:val="30B5017C"/>
    <w:rsid w:val="310E6468"/>
    <w:rsid w:val="31324BCD"/>
    <w:rsid w:val="315923A4"/>
    <w:rsid w:val="31E01808"/>
    <w:rsid w:val="340D70E3"/>
    <w:rsid w:val="3453628C"/>
    <w:rsid w:val="347D6E0A"/>
    <w:rsid w:val="349B5908"/>
    <w:rsid w:val="36581BEF"/>
    <w:rsid w:val="36F62ACF"/>
    <w:rsid w:val="379B7D06"/>
    <w:rsid w:val="38DD234A"/>
    <w:rsid w:val="3A2A67B7"/>
    <w:rsid w:val="3A3060CB"/>
    <w:rsid w:val="3C4773FC"/>
    <w:rsid w:val="3C974D64"/>
    <w:rsid w:val="3D826CD3"/>
    <w:rsid w:val="3DDA7CA4"/>
    <w:rsid w:val="3DFF057B"/>
    <w:rsid w:val="3E03016C"/>
    <w:rsid w:val="3EC21175"/>
    <w:rsid w:val="3FF17081"/>
    <w:rsid w:val="405715FE"/>
    <w:rsid w:val="41356AF2"/>
    <w:rsid w:val="414117D3"/>
    <w:rsid w:val="42E71E4A"/>
    <w:rsid w:val="43AA0A1A"/>
    <w:rsid w:val="43F02E86"/>
    <w:rsid w:val="44445222"/>
    <w:rsid w:val="44A1682D"/>
    <w:rsid w:val="44AB7D67"/>
    <w:rsid w:val="45835D97"/>
    <w:rsid w:val="46555A9E"/>
    <w:rsid w:val="47927F0C"/>
    <w:rsid w:val="483B786C"/>
    <w:rsid w:val="48A052F0"/>
    <w:rsid w:val="48FD2CBF"/>
    <w:rsid w:val="49043823"/>
    <w:rsid w:val="49B64C17"/>
    <w:rsid w:val="4A774EAF"/>
    <w:rsid w:val="4A901B65"/>
    <w:rsid w:val="4A970401"/>
    <w:rsid w:val="4B8B563D"/>
    <w:rsid w:val="4C5B1D93"/>
    <w:rsid w:val="4C815CEF"/>
    <w:rsid w:val="4C8773D6"/>
    <w:rsid w:val="4C8E6465"/>
    <w:rsid w:val="4CF3184A"/>
    <w:rsid w:val="4D113017"/>
    <w:rsid w:val="4D1A1E41"/>
    <w:rsid w:val="4D1C20E0"/>
    <w:rsid w:val="4FCE0B81"/>
    <w:rsid w:val="50544212"/>
    <w:rsid w:val="515B15FC"/>
    <w:rsid w:val="527C7B82"/>
    <w:rsid w:val="5299691E"/>
    <w:rsid w:val="531752DB"/>
    <w:rsid w:val="53E268F1"/>
    <w:rsid w:val="543B1246"/>
    <w:rsid w:val="54886867"/>
    <w:rsid w:val="5491583C"/>
    <w:rsid w:val="54D6161E"/>
    <w:rsid w:val="579E3070"/>
    <w:rsid w:val="582C5F77"/>
    <w:rsid w:val="58B32F76"/>
    <w:rsid w:val="591D1716"/>
    <w:rsid w:val="59476261"/>
    <w:rsid w:val="59F96BAF"/>
    <w:rsid w:val="5A3126AE"/>
    <w:rsid w:val="5A9A7B03"/>
    <w:rsid w:val="5AA83CF1"/>
    <w:rsid w:val="5CA6431C"/>
    <w:rsid w:val="5D232270"/>
    <w:rsid w:val="5D53601F"/>
    <w:rsid w:val="5E374037"/>
    <w:rsid w:val="5E3D5C85"/>
    <w:rsid w:val="5E535479"/>
    <w:rsid w:val="5F057EE1"/>
    <w:rsid w:val="5F892649"/>
    <w:rsid w:val="6016348B"/>
    <w:rsid w:val="60DA49DB"/>
    <w:rsid w:val="62101E85"/>
    <w:rsid w:val="62DB3863"/>
    <w:rsid w:val="633831BC"/>
    <w:rsid w:val="637C494F"/>
    <w:rsid w:val="642D3DC4"/>
    <w:rsid w:val="64F57F6F"/>
    <w:rsid w:val="65571EA9"/>
    <w:rsid w:val="6727118C"/>
    <w:rsid w:val="67647E7D"/>
    <w:rsid w:val="685643D3"/>
    <w:rsid w:val="68B34A7D"/>
    <w:rsid w:val="68DC27C4"/>
    <w:rsid w:val="6A773311"/>
    <w:rsid w:val="6A955530"/>
    <w:rsid w:val="6BAB7A5B"/>
    <w:rsid w:val="6D86319F"/>
    <w:rsid w:val="6E4829A7"/>
    <w:rsid w:val="6F270F00"/>
    <w:rsid w:val="6F6B56AF"/>
    <w:rsid w:val="70EA1B1B"/>
    <w:rsid w:val="716740E2"/>
    <w:rsid w:val="721539DB"/>
    <w:rsid w:val="7329247D"/>
    <w:rsid w:val="733517CB"/>
    <w:rsid w:val="73A734AF"/>
    <w:rsid w:val="741C55A9"/>
    <w:rsid w:val="75123A2B"/>
    <w:rsid w:val="75172ADA"/>
    <w:rsid w:val="75DF35EA"/>
    <w:rsid w:val="76090E55"/>
    <w:rsid w:val="77E43EAC"/>
    <w:rsid w:val="78532CD6"/>
    <w:rsid w:val="790E26F2"/>
    <w:rsid w:val="79DA2CAE"/>
    <w:rsid w:val="7A535E6C"/>
    <w:rsid w:val="7B582008"/>
    <w:rsid w:val="7B867AD4"/>
    <w:rsid w:val="7C053676"/>
    <w:rsid w:val="7C054C4A"/>
    <w:rsid w:val="7D170770"/>
    <w:rsid w:val="7D70716E"/>
    <w:rsid w:val="7DA1507F"/>
    <w:rsid w:val="7EB32EAB"/>
    <w:rsid w:val="7F65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semiHidden/>
    <w:unhideWhenUsed/>
    <w:qFormat/>
    <w:uiPriority w:val="99"/>
    <w:rPr>
      <w:color w:val="864654"/>
      <w:u w:val="single"/>
    </w:rPr>
  </w:style>
  <w:style w:type="character" w:styleId="12">
    <w:name w:val="annotation reference"/>
    <w:semiHidden/>
    <w:unhideWhenUsed/>
    <w:qFormat/>
    <w:uiPriority w:val="99"/>
    <w:rPr>
      <w:sz w:val="21"/>
      <w:szCs w:val="21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4">
    <w:name w:val="CM3"/>
    <w:basedOn w:val="13"/>
    <w:next w:val="13"/>
    <w:qFormat/>
    <w:uiPriority w:val="0"/>
    <w:pPr>
      <w:spacing w:line="468" w:lineRule="atLeast"/>
    </w:pPr>
    <w:rPr>
      <w:rFonts w:ascii="宋体" w:hAnsi="Times New Roman" w:eastAsia="宋体" w:cs="宋体"/>
      <w:color w:val="auto"/>
    </w:rPr>
  </w:style>
  <w:style w:type="character" w:customStyle="1" w:styleId="15">
    <w:name w:val="页眉 字符"/>
    <w:link w:val="5"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16">
    <w:name w:val="页脚 字符"/>
    <w:link w:val="4"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17">
    <w:name w:val="批注框文本 字符"/>
    <w:link w:val="3"/>
    <w:semiHidden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18">
    <w:name w:val="批注文字 字符"/>
    <w:link w:val="2"/>
    <w:semiHidden/>
    <w:qFormat/>
    <w:uiPriority w:val="99"/>
    <w:rPr>
      <w:rFonts w:ascii="Times New Roman" w:hAnsi="Times New Roman" w:eastAsia="宋体"/>
      <w:kern w:val="2"/>
      <w:sz w:val="21"/>
    </w:rPr>
  </w:style>
  <w:style w:type="character" w:customStyle="1" w:styleId="19">
    <w:name w:val="批注主题 字符"/>
    <w:link w:val="7"/>
    <w:semiHidden/>
    <w:qFormat/>
    <w:uiPriority w:val="99"/>
    <w:rPr>
      <w:rFonts w:ascii="Times New Roman" w:hAnsi="Times New Roman" w:eastAsia="宋体"/>
      <w:b/>
      <w:bCs/>
      <w:kern w:val="2"/>
      <w:sz w:val="21"/>
    </w:rPr>
  </w:style>
  <w:style w:type="paragraph" w:customStyle="1" w:styleId="20">
    <w:name w:val="修订1"/>
    <w:hidden/>
    <w:semiHidden/>
    <w:qFormat/>
    <w:uiPriority w:val="99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character" w:customStyle="1" w:styleId="22">
    <w:name w:val="font1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23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7F32F-A976-48A3-A9EF-EA5FAC1638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316</Words>
  <Characters>1802</Characters>
  <Lines>15</Lines>
  <Paragraphs>4</Paragraphs>
  <TotalTime>0</TotalTime>
  <ScaleCrop>false</ScaleCrop>
  <LinksUpToDate>false</LinksUpToDate>
  <CharactersWithSpaces>2114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2020-04-26T09:59:00Z</dcterms:created>
  <dc:creator>USER</dc:creator>
  <cp:lastModifiedBy>P194919</cp:lastModifiedBy>
  <cp:lastPrinted>2019-04-17T08:50:00Z</cp:lastPrinted>
  <dcterms:modified xsi:type="dcterms:W3CDTF">2024-10-29T00:26:14Z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88BCB8E6413B42E1AB32F3FC2822964E</vt:lpwstr>
  </property>
</Properties>
</file>